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3" w:rsidRDefault="006C4493" w:rsidP="006C4493">
      <w:pPr>
        <w:jc w:val="both"/>
        <w:rPr>
          <w:b/>
          <w:color w:val="365F91" w:themeColor="accent1" w:themeShade="BF"/>
          <w:sz w:val="28"/>
          <w:szCs w:val="28"/>
        </w:rPr>
      </w:pPr>
    </w:p>
    <w:p w:rsidR="006C4493" w:rsidRPr="001924F0" w:rsidRDefault="006C4493" w:rsidP="006C4493">
      <w:pPr>
        <w:jc w:val="center"/>
        <w:rPr>
          <w:b/>
          <w:sz w:val="28"/>
          <w:szCs w:val="28"/>
        </w:rPr>
      </w:pPr>
      <w:r w:rsidRPr="001924F0">
        <w:rPr>
          <w:b/>
          <w:sz w:val="28"/>
          <w:szCs w:val="28"/>
        </w:rPr>
        <w:t>Учебный модуль 3</w:t>
      </w:r>
    </w:p>
    <w:p w:rsidR="006C4493" w:rsidRDefault="006C4493" w:rsidP="006C4493">
      <w:pPr>
        <w:jc w:val="center"/>
        <w:rPr>
          <w:b/>
          <w:color w:val="365F91" w:themeColor="accent1" w:themeShade="BF"/>
          <w:sz w:val="28"/>
          <w:szCs w:val="28"/>
        </w:rPr>
      </w:pPr>
      <w:r w:rsidRPr="00F72DFB">
        <w:rPr>
          <w:b/>
          <w:color w:val="365F91" w:themeColor="accent1" w:themeShade="BF"/>
          <w:sz w:val="28"/>
          <w:szCs w:val="28"/>
        </w:rPr>
        <w:t>«ОСУЩЕСТВЛЕНИЕ СПЕЦИАЛИЗИРОВАННОГО МЕДИЦИНСКОГО УХОДА ЗА ПАЦИЕНТОМ В ОТДЕЛЕНИИ ИНТЕНСИВНОЙ ТЕРАПИИ И РЕАНИМАЦИИ»</w:t>
      </w:r>
    </w:p>
    <w:p w:rsidR="006C4493" w:rsidRDefault="006C4493" w:rsidP="006C4493">
      <w:pPr>
        <w:jc w:val="both"/>
        <w:rPr>
          <w:b/>
          <w:color w:val="365F91" w:themeColor="accent1" w:themeShade="BF"/>
          <w:sz w:val="28"/>
          <w:szCs w:val="28"/>
        </w:rPr>
      </w:pPr>
    </w:p>
    <w:p w:rsidR="006C4493" w:rsidRDefault="006C4493" w:rsidP="006C4493">
      <w:pPr>
        <w:pStyle w:val="a9"/>
        <w:jc w:val="center"/>
        <w:rPr>
          <w:color w:val="000000"/>
          <w:sz w:val="27"/>
          <w:szCs w:val="27"/>
        </w:rPr>
      </w:pPr>
      <w:r w:rsidRPr="0090745C">
        <w:rPr>
          <w:b/>
          <w:color w:val="17365D" w:themeColor="text2" w:themeShade="BF"/>
          <w:sz w:val="27"/>
          <w:szCs w:val="27"/>
        </w:rPr>
        <w:t>Особенности применения кислорода у больных с коронавирусной инфекцией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пациентов с COVID-19 и насыщением гемоглобина кислородом менее 92% рекомендовано начало оксигенотерапии до достижения 96-98%.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Пациентам с гипоксемической ОДН вследствие COVID-19 на первом этапе рекомендовано использовать высокопоточную оксигенацию с потоком 30-60 л/мин вместо стандартной оксигенотерапии или НИВЛ, так как она имеет преимущества в обеспечении адекватной оксигенации и не увеличивает риск передачи инфекции; при использовании высокопоточной оксигенотерапии рекомендовано надеть на пациента защитную маску.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Пациентам с COVID-19 рекомендовано сочетание оксигенотерапии (стандартной или высокопоточной) с положением пациента лежа на животе не менее 12-16 часов сутки, что приводит к улучшению оксигенации и возможному снижению летальности.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пациентов с гипоксемической (паренхиматозной) ОДН при COVID-19 НИВЛ и высокопоточная оксигенация рекомендована при сочетании низкой рекрутабельности альвеол (собственно, вирусная (поли) очаговая пневмония) с незначительно сниженной или нормальной податливостью легких и грудной стенки, продемонстрировано преимущество высокопоточной оксигенации пред НИВЛ у этих пациентов.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отсутствии технической возможности проведения высокопоточной оксигенотерапии или ее неэффективности рекомендовано использование неинвазивной вентиляции аппаратами НИВЛ для стационарного или домашнего использования в режиме СРАР до 15-18 см вод.ст.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неэффективности неинвазивной вентиляции - гипоксемии, метаболическом ацидозе или отсутствии увеличения индекса PaO2/FiO2 в течение 2 часов, высокой работе дыхания (десинхронизация с респиратором, участие вспомогательных мышц, "провалы" во время триггирования вдоха на кривой "давление-время") - показана интубация трахеи и переход к традиционной ИВЛ.</w:t>
      </w:r>
    </w:p>
    <w:p w:rsidR="006C4493" w:rsidRDefault="006C4493" w:rsidP="006C4493">
      <w:pPr>
        <w:pStyle w:val="a9"/>
        <w:jc w:val="center"/>
        <w:rPr>
          <w:color w:val="000000"/>
          <w:sz w:val="27"/>
          <w:szCs w:val="27"/>
        </w:rPr>
      </w:pPr>
      <w:r w:rsidRPr="0090745C">
        <w:rPr>
          <w:b/>
          <w:color w:val="17365D" w:themeColor="text2" w:themeShade="BF"/>
          <w:sz w:val="27"/>
          <w:szCs w:val="27"/>
        </w:rPr>
        <w:t>Терминальные состояния, основы сердечно – легочной реанимации в отделении интенсивной терапии у пациентов с коронавирусной инфекцией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Сердечно-легочная реанимация – комплекс мер медицинского характера, направленных на возвращение к полноценной жизни пациента, находящегося в состоянии клинической смерти. Существует два вида аппаратов ИВЛ: неинвазивный и инвазивный. В первом случае на лицо больного накладывают маску, подключенную к внешнему резервуару с кислородом и системе подачи воздуха.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неинвазивный аппарат ИВЛ не помогает восстановить кислородный баланс, пациента интубируют. Для этого врач вводит в трахею больного трубку. Это можно делать через нос, рот и в некоторых случаях через трахеостому. Больному также вводят седативные препараты, которые расслабляют диафрагму и другие мышцы, участвующие в процессе дыхания. Если у пациента остановилось сердце, ему проводят сердечно-легочную реанимацию. Она предполагает, помимо искусственного дыхания, непрямой массаж сердца. На это у докторов есть две минуты. Через три минуты кора головного мозга начинает разрушаться. Это происходит из-за отсутствия притока крови и кислородного голодания. После постепенно нарушается работа и других отделов мозга.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Повреждения могут привести к потере памяти (амнезии), мышечного контроля, нарушению речи, изменению личности, дезориентации во времени и пространстве. Чем дольше мозг находится без кислорода, тем сильнее и необратимее последствия. К десяти минутам кислородного голодания шансы на выживаемость больного минимальны.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критическим состояниям, развивающимся в отделении интенсивной терапии у пациентов можно отнести ОДН, септический шок, почечная и печеночная недостаточность.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Алгоритм оказания помощи при ОДН может быть следующим: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Пациентам с острой дыхательной недостаточностью вследствие COVID-19 рекомендовано использовать пошаговый подход в выборе методов респираторной терапии для улучшения результатов лечения: при ОРДС легкой степени ( 200-300 мм рт.ст. или 80-90% при дыхании воздухом) рекомендовано использование стандартной оксигенотерапии (через лицевую маску или назальные канюли), высокопоточной оксигенации (ВПО) или неинвазивной ИВЛ (НИВЛ) в сочетании с прон-позицией, при ОРДС средней и тяжелой степени ( обычно менее 150 мм рт.ст. или менее 75% при дыхании воздухом) показана интубация трахеи и инвазивная ИВЛ в сочетании с прон-позицией (схема 1).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 w:rsidRPr="0090745C"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19701AE7" wp14:editId="7CC4D2C0">
            <wp:extent cx="3067050" cy="2826208"/>
            <wp:effectExtent l="19050" t="0" r="0" b="0"/>
            <wp:docPr id="17" name="Рисунок 17" descr="http://www.garant.ru/files/6/7/1362776/pict31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6/7/1362776/pict31-737539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3" w:rsidRDefault="006C4493" w:rsidP="006C449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Схема 1. Пошаговый подход в выборе респираторной терапии COVID-19</w:t>
      </w:r>
    </w:p>
    <w:p w:rsidR="006C4493" w:rsidRPr="0090745C" w:rsidRDefault="006C4493" w:rsidP="006C4493">
      <w:pPr>
        <w:pStyle w:val="a9"/>
        <w:rPr>
          <w:color w:val="17365D" w:themeColor="text2" w:themeShade="BF"/>
          <w:sz w:val="27"/>
          <w:szCs w:val="27"/>
        </w:rPr>
      </w:pPr>
    </w:p>
    <w:p w:rsidR="006C4493" w:rsidRPr="0090745C" w:rsidRDefault="006C4493" w:rsidP="006C4493">
      <w:pPr>
        <w:spacing w:after="255" w:line="270" w:lineRule="atLeast"/>
        <w:jc w:val="center"/>
        <w:outlineLvl w:val="2"/>
        <w:rPr>
          <w:b/>
          <w:bCs/>
          <w:color w:val="17365D" w:themeColor="text2" w:themeShade="BF"/>
          <w:sz w:val="24"/>
          <w:szCs w:val="24"/>
        </w:rPr>
      </w:pPr>
      <w:r w:rsidRPr="0090745C">
        <w:rPr>
          <w:b/>
          <w:bCs/>
          <w:color w:val="17365D" w:themeColor="text2" w:themeShade="BF"/>
          <w:sz w:val="24"/>
          <w:szCs w:val="24"/>
        </w:rPr>
        <w:t>Лечение пациентов с септическим шоком</w:t>
      </w:r>
    </w:p>
    <w:p w:rsidR="006C4493" w:rsidRPr="006814AE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При септическом шоке следует незамедлительно осуществить внутривенную инфузионную терапию кристаллоидными растворами (30 мл/кг/сутки, с высокой начальной скоростью инфузии - 1 л жидкости в течение 30 минут или менее). Особенно важно, оценивая волемический статус, предотвратить возможное развитие гиперволемии.</w:t>
      </w:r>
    </w:p>
    <w:p w:rsidR="006C4493" w:rsidRPr="006814AE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Если состояние пациента в результате болюсной инфузии растворов не улучшается и появляются признаки гиперволемии (т.е. влажные хрипы при аускультации, отек легких по данным рентгенографии грудной клетки), то необходимо сократить объемы вводимых растворов или прекратить инфузию.</w:t>
      </w:r>
    </w:p>
    <w:p w:rsidR="006C4493" w:rsidRPr="006814AE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Не рекомендуется использовать гипотонические растворы, декстраны или растворы гидроксиэтилкрахмала.</w:t>
      </w:r>
    </w:p>
    <w:p w:rsidR="006C4493" w:rsidRPr="006814AE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При отсутствии эффекта от стартовой инфузионной терапии назначают вазопрессоры (норэпинефрин, адреналин (эпинефрин) и дофамин). Вазопрессоры рекомендуется вводить в минимальных дозах, обеспечивающих поддержку перфузии (т.е. систолическое артериальное давление &gt; 90 мм рт. ст.). Адреналин вводится в дозе от 0,2 до 0,5 мкг/кг/мин. Однако доза адреналина может быть увеличена до 1 и даже 1,5 мкг/кг/мин.</w:t>
      </w:r>
    </w:p>
    <w:p w:rsidR="006C4493" w:rsidRPr="006814AE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Введение норадреналина, дофамина и добутамина целесообразно при снижении сократимости миокарда и развитии сердечной недостаточности.</w:t>
      </w:r>
    </w:p>
    <w:p w:rsidR="006C4493" w:rsidRPr="006814AE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Эксперты ВОЗ рекомендуют при коронавирусной инфекции применять, по возможности, невысокие дозы гидрокортизона (до 200 мг/сутки) или преднизолона (до 75 мг/сутки) и непродолжительные курсы.</w:t>
      </w:r>
    </w:p>
    <w:p w:rsidR="006C4493" w:rsidRDefault="006C4493" w:rsidP="006C4493">
      <w:pPr>
        <w:ind w:firstLine="709"/>
        <w:jc w:val="both"/>
        <w:rPr>
          <w:color w:val="000000"/>
          <w:sz w:val="24"/>
          <w:szCs w:val="24"/>
        </w:rPr>
      </w:pPr>
      <w:r w:rsidRPr="006814AE">
        <w:rPr>
          <w:color w:val="000000"/>
          <w:sz w:val="24"/>
          <w:szCs w:val="24"/>
        </w:rPr>
        <w:t>При гипоксемии с </w:t>
      </w:r>
      <w:r w:rsidRPr="00E806AB">
        <w:rPr>
          <w:noProof/>
          <w:color w:val="000000"/>
          <w:sz w:val="24"/>
          <w:szCs w:val="24"/>
        </w:rPr>
        <w:drawing>
          <wp:inline distT="0" distB="0" distL="0" distR="0" wp14:anchorId="375AE1AE" wp14:editId="3490A508">
            <wp:extent cx="600075" cy="190500"/>
            <wp:effectExtent l="0" t="0" r="9525" b="0"/>
            <wp:docPr id="3" name="Рисунок 36" descr="http://www.garant.ru/files/6/7/1362776/pict52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garant.ru/files/6/7/1362776/pict52-737539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4AE">
        <w:rPr>
          <w:color w:val="000000"/>
          <w:sz w:val="24"/>
          <w:szCs w:val="24"/>
        </w:rPr>
        <w:t> показана кислородная терапия до достижения целевого уровня </w:t>
      </w:r>
      <w:r w:rsidRPr="00E806AB">
        <w:rPr>
          <w:noProof/>
          <w:color w:val="000000"/>
          <w:sz w:val="24"/>
          <w:szCs w:val="24"/>
        </w:rPr>
        <w:drawing>
          <wp:inline distT="0" distB="0" distL="0" distR="0" wp14:anchorId="2C17EF10" wp14:editId="2D3AF368">
            <wp:extent cx="600075" cy="190500"/>
            <wp:effectExtent l="0" t="0" r="9525" b="0"/>
            <wp:docPr id="4" name="Рисунок 37" descr="http://www.garant.ru/files/6/7/1362776/pict53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arant.ru/files/6/7/1362776/pict53-737539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4AE">
        <w:rPr>
          <w:color w:val="000000"/>
          <w:sz w:val="24"/>
          <w:szCs w:val="24"/>
        </w:rPr>
        <w:t> у небеременных взрослых и детей, у беременных пациенток - до </w:t>
      </w:r>
      <w:r w:rsidRPr="00E806AB">
        <w:rPr>
          <w:noProof/>
          <w:color w:val="000000"/>
          <w:sz w:val="24"/>
          <w:szCs w:val="24"/>
        </w:rPr>
        <w:drawing>
          <wp:inline distT="0" distB="0" distL="0" distR="0" wp14:anchorId="4998B845" wp14:editId="02E20098">
            <wp:extent cx="600075" cy="190500"/>
            <wp:effectExtent l="0" t="0" r="9525" b="0"/>
            <wp:docPr id="5" name="Рисунок 38" descr="http://www.garant.ru/files/6/7/1362776/pict54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arant.ru/files/6/7/1362776/pict54-737539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4AE">
        <w:rPr>
          <w:color w:val="000000"/>
          <w:sz w:val="24"/>
          <w:szCs w:val="24"/>
        </w:rPr>
        <w:t>.</w:t>
      </w:r>
    </w:p>
    <w:p w:rsidR="006C4493" w:rsidRPr="0090745C" w:rsidRDefault="006C4493" w:rsidP="006C4493">
      <w:pPr>
        <w:ind w:firstLine="709"/>
        <w:jc w:val="center"/>
        <w:rPr>
          <w:color w:val="17365D" w:themeColor="text2" w:themeShade="BF"/>
          <w:sz w:val="24"/>
          <w:szCs w:val="24"/>
        </w:rPr>
      </w:pPr>
      <w:r w:rsidRPr="0090745C">
        <w:rPr>
          <w:rFonts w:ascii="Arial" w:hAnsi="Arial" w:cs="Arial"/>
          <w:color w:val="17365D" w:themeColor="text2" w:themeShade="BF"/>
          <w:sz w:val="24"/>
          <w:szCs w:val="24"/>
        </w:rPr>
        <w:br/>
      </w:r>
      <w:r w:rsidRPr="0090745C">
        <w:rPr>
          <w:b/>
          <w:color w:val="17365D" w:themeColor="text2" w:themeShade="BF"/>
          <w:sz w:val="24"/>
          <w:szCs w:val="24"/>
        </w:rPr>
        <w:t>Уход при печеночной недостаточности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Лечение искуственной поддержкой печени для подавления цитокинового каскада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Искусственная система поддержки печени (ALSS) может проводить плазмообмен, </w:t>
      </w:r>
      <w:r w:rsidRPr="00E806AB">
        <w:rPr>
          <w:sz w:val="24"/>
          <w:szCs w:val="24"/>
        </w:rPr>
        <w:lastRenderedPageBreak/>
        <w:t xml:space="preserve">адсорбцию, перфузию и фильтрацию медиаторов воспаления, таких как эндотоксины и вредные метаболические вещества малой или средней молекулярной массы. Он также может обеспечить сывороточный альбумин, факторы свертывания крови, сбалансированный объем жидкости, электролиты и кислотно-щелочное соотношение, а также проявлять антицитокиновые бури, шок, воспаление легких и др. При этом он также может помочь улучшить функции многих органов, включая печень и почки.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Таким образом, он может повысить успех лечения и снизить смертность тяжелых пациентов.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Показания к применению ALSS </w:t>
      </w:r>
      <w:r w:rsidRPr="00E806AB">
        <w:rPr>
          <w:sz w:val="24"/>
          <w:szCs w:val="24"/>
        </w:rPr>
        <w:sym w:font="Symbol" w:char="F06A"/>
      </w:r>
      <w:r w:rsidRPr="00E806AB">
        <w:rPr>
          <w:sz w:val="24"/>
          <w:szCs w:val="24"/>
        </w:rPr>
        <w:t xml:space="preserve"> уровень сывороточного воспалительного индикатора (например, IL-6) повышается до ≥ 5 локтевых суставов, или скорость повышения составляет ≥1 раза в сутки; </w:t>
      </w:r>
      <w:r w:rsidRPr="00E806AB">
        <w:rPr>
          <w:sz w:val="24"/>
          <w:szCs w:val="24"/>
        </w:rPr>
        <w:sym w:font="Symbol" w:char="F06B"/>
      </w:r>
      <w:r w:rsidRPr="00E806AB">
        <w:rPr>
          <w:sz w:val="24"/>
          <w:szCs w:val="24"/>
        </w:rPr>
        <w:t xml:space="preserve"> вовлеченная область легочной КТ или рентгеновских изображений ≥10% прогрессирования в сутки; </w:t>
      </w:r>
      <w:r w:rsidRPr="00E806AB">
        <w:rPr>
          <w:sz w:val="24"/>
          <w:szCs w:val="24"/>
        </w:rPr>
        <w:sym w:font="Symbol" w:char="F06C"/>
      </w:r>
      <w:r w:rsidRPr="00E806AB">
        <w:rPr>
          <w:sz w:val="24"/>
          <w:szCs w:val="24"/>
        </w:rPr>
        <w:t xml:space="preserve"> искусственная система поддержки печени необходима для лечения основных заболеваний. Встречи с пациентами </w:t>
      </w:r>
      <w:r w:rsidRPr="00E806AB">
        <w:rPr>
          <w:sz w:val="24"/>
          <w:szCs w:val="24"/>
        </w:rPr>
        <w:sym w:font="Symbol" w:char="F06A"/>
      </w:r>
      <w:r w:rsidRPr="00E806AB">
        <w:rPr>
          <w:sz w:val="24"/>
          <w:szCs w:val="24"/>
        </w:rPr>
        <w:t xml:space="preserve"> + </w:t>
      </w:r>
      <w:r w:rsidRPr="00E806AB">
        <w:rPr>
          <w:sz w:val="24"/>
          <w:szCs w:val="24"/>
        </w:rPr>
        <w:sym w:font="Symbol" w:char="F06B"/>
      </w:r>
      <w:r w:rsidRPr="00E806AB">
        <w:rPr>
          <w:sz w:val="24"/>
          <w:szCs w:val="24"/>
        </w:rPr>
        <w:t xml:space="preserve">, или встречи с пациентами </w:t>
      </w:r>
      <w:r w:rsidRPr="00E806AB">
        <w:rPr>
          <w:sz w:val="24"/>
          <w:szCs w:val="24"/>
        </w:rPr>
        <w:sym w:font="Symbol" w:char="F06C"/>
      </w:r>
      <w:r w:rsidRPr="00E806AB">
        <w:rPr>
          <w:sz w:val="24"/>
          <w:szCs w:val="24"/>
        </w:rPr>
        <w:t>.</w:t>
      </w:r>
    </w:p>
    <w:p w:rsidR="006C4493" w:rsidRPr="0090745C" w:rsidRDefault="006C4493" w:rsidP="006C4493">
      <w:pPr>
        <w:ind w:firstLine="709"/>
        <w:jc w:val="both"/>
        <w:outlineLvl w:val="2"/>
        <w:rPr>
          <w:color w:val="17365D" w:themeColor="text2" w:themeShade="BF"/>
          <w:sz w:val="24"/>
          <w:szCs w:val="24"/>
        </w:rPr>
      </w:pPr>
    </w:p>
    <w:p w:rsidR="006C4493" w:rsidRPr="0090745C" w:rsidRDefault="006C4493" w:rsidP="006C4493">
      <w:pPr>
        <w:ind w:firstLine="709"/>
        <w:jc w:val="center"/>
        <w:rPr>
          <w:b/>
          <w:color w:val="17365D" w:themeColor="text2" w:themeShade="BF"/>
          <w:sz w:val="24"/>
          <w:szCs w:val="24"/>
        </w:rPr>
      </w:pPr>
      <w:r w:rsidRPr="0090745C">
        <w:rPr>
          <w:b/>
          <w:color w:val="17365D" w:themeColor="text2" w:themeShade="BF"/>
          <w:sz w:val="24"/>
          <w:szCs w:val="24"/>
        </w:rPr>
        <w:t>Уход при почечной недостаточности</w:t>
      </w:r>
    </w:p>
    <w:p w:rsidR="006C4493" w:rsidRDefault="006C4493" w:rsidP="006C4493">
      <w:pPr>
        <w:jc w:val="both"/>
        <w:outlineLvl w:val="2"/>
      </w:pP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Уход при сосудистом доступе: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E806AB">
        <w:rPr>
          <w:sz w:val="24"/>
          <w:szCs w:val="24"/>
        </w:rPr>
        <w:t xml:space="preserve">Осуществляйте профессиональный уход за катетером каждые 24 часа для пациентов с катетеризацией центральной вены, чтобы правильно зафиксировать доступ и избежать искажения и компрессии. Если НЗПТ интегрирована с терапией ЭКМО, последовательность и плотность соединения катетера должны быть подтверждены двумя медсестрами. Предполагается, что линии оттока и притока НЗПТ подключаются за оксигенатором.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(2) Внимательно следите за сознанием и жизненными показателями пациентов; точно рассчитайте приток и отток жидкости.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Внимательно наблюдайте за свертываемостью крови в контуре искусственного кровообращения, эффективно реагируйте на любые сигналы тревоги и убедитесь, что аппарат работает нормально. Оценивайте электролитный и кислотно-щелочной баланс во внутренней среде посредством анализа газов крови каждые 4 часа. Запасная жидкость должна быть свежеприготовленной и промаркированной в строгих стерильных условиях.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3 Послеоперационный уход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 xml:space="preserve">(1) Контролируйте общий анализ крови, работу печени и почек, а также функцию свертывания крови. </w:t>
      </w:r>
    </w:p>
    <w:p w:rsidR="006C4493" w:rsidRDefault="006C4493" w:rsidP="006C4493">
      <w:pPr>
        <w:ind w:firstLine="709"/>
        <w:jc w:val="both"/>
        <w:outlineLvl w:val="2"/>
        <w:rPr>
          <w:sz w:val="24"/>
          <w:szCs w:val="24"/>
        </w:rPr>
      </w:pPr>
      <w:r w:rsidRPr="00E806AB">
        <w:rPr>
          <w:sz w:val="24"/>
          <w:szCs w:val="24"/>
        </w:rPr>
        <w:t>(2) Протирайте аппарат НЗПТ каждые 24 часа, если применяется непрерывная терапия. Расходные материалы и использованную жидкость следует утилизировать.</w:t>
      </w:r>
    </w:p>
    <w:p w:rsidR="006C4493" w:rsidRPr="0090745C" w:rsidRDefault="006C4493" w:rsidP="006C4493">
      <w:pPr>
        <w:pStyle w:val="a9"/>
        <w:jc w:val="center"/>
        <w:rPr>
          <w:b/>
          <w:color w:val="17365D" w:themeColor="text2" w:themeShade="BF"/>
          <w:sz w:val="27"/>
          <w:szCs w:val="27"/>
        </w:rPr>
      </w:pPr>
      <w:r w:rsidRPr="0090745C">
        <w:rPr>
          <w:b/>
          <w:color w:val="17365D" w:themeColor="text2" w:themeShade="BF"/>
          <w:sz w:val="27"/>
          <w:szCs w:val="27"/>
        </w:rPr>
        <w:t>Основные принципы интенсивной терапии и специализированного ухода в педиатрии, акушерстве и гинекологии у пациентов с COVID-19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Акушерская тактика определяется несколькими аспектами: тяжестью состояния пациентки, состоянием плода, сроком гестации. При средней степени тяжести и тяжелом течении заболевания до 12-й недели гестации в связи с высоким риском перинатальных осложнений, связанных как с воздействием вирусной инфекции, так и эмбриотоксичным действием лекарственных препаратов, возможно прерывание беременности после излечения инфекционного процесса. При отказе пациентки от прерывания беременности необходима биопсия ворсин хориона или плаценты до 12-14-й недель или амниоцентез с 16 недель гестации для выявления хромосомных аномалий плода.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Прерывание беременности и родоразрешение в разгар заболевания сопряжено с увеличением показателя материнской летальности и большим числом осложнений: утяжеление основного заболевания и вызванных им осложнений, развитие и прогрессирование дыхательной недостаточности, возникновение акушерских кровотечений, интранатальная гибель плода, послеродовые гнойно-септические осложнения. Однако при невозможности устранения гипоксии на фоне ИВЛ или при прогрессировании дыхательной недостаточности, развитии альвеолярного отека легких, а также при рефрактерном септическом шоке по жизненным показаниям в интересах матери и плода показано экстренное абдоминальное родоразрешение (кесарево сечение) с проведением всех необходимых мероприятий по профилактике коагулопатического и гипотонического акушерского кровотечения.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сроке беременности до 20 недель экстренное кесарево сечение можно не проводить, так как беременная матка в этом сроке не влияет на сердечный выброс. В сроке беременности 20-23 недели экстренное кесарево сечение проводится для сохранения жизни матери, но не плода, а в сроке более 24 недель - для спасения жизни матери и плода.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развития спонтанной родовой деятельности в разгар заболевания (пневмонии) роды предпочтительно вести через естественные родовые пути под мониторным контролем состояния матери и плода.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Предпочтительным методом обезболивания является регионарная аналгезия при отсутствии противопоказаний. Противовирусная, антибактериальная, детоксикационная терапия, респираторная поддержка проводятся по показаниям.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втором периоде для профилактики развития дыхательной и сердечно-сосудистой недостаточности ограничить потуги. При необходимости быстрого окончания родов следует применить вакуум-экстракцию или акушерские щипцы.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Кесарево сечение выполняется при наличии абсолютных акушерских показаний, а также в случае непредотвратимости/неизбежности летального исхода матери с целью попытки сохранения жизни плода.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Анестезиологическое обеспечение операции кесарева сечения при тяжелом течении заболевания: в отсутствии признаков выраженной полиорганной недостаточности (до 2 баллов по шкале SOFA) возможно применение регионарных методов обезболивания на фоне респираторной поддержки, при выраженной полиорганной недостаточности - тотальная внутривенная анестезия с ИВЛ.</w:t>
      </w:r>
    </w:p>
    <w:p w:rsidR="006C4493" w:rsidRDefault="006C4493" w:rsidP="006C4493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пациенткам, независимо от срока беременности, показана профилактика кровотечения.</w:t>
      </w:r>
    </w:p>
    <w:p w:rsidR="006C4493" w:rsidRDefault="006C4493" w:rsidP="006C4493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 всех случаях вопрос о времени и методе родоразрешения решается индивидуально.</w:t>
      </w:r>
    </w:p>
    <w:p w:rsidR="006C4493" w:rsidRDefault="006C4493" w:rsidP="006C4493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Клиническими критериями выписки из стационара беременных и родильниц являются:</w:t>
      </w:r>
    </w:p>
    <w:p w:rsidR="006C4493" w:rsidRDefault="006C4493" w:rsidP="006C4493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нормальная температура тела в течение 3-х дней;</w:t>
      </w:r>
    </w:p>
    <w:p w:rsidR="006C4493" w:rsidRDefault="006C4493" w:rsidP="006C4493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отсутствие симптомов поражения респираторного тракта;</w:t>
      </w:r>
    </w:p>
    <w:p w:rsidR="006C4493" w:rsidRDefault="006C4493" w:rsidP="006C4493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восстановление нарушенных лабораторных показателей;</w:t>
      </w:r>
    </w:p>
    <w:p w:rsidR="006C4493" w:rsidRDefault="006C4493" w:rsidP="006C4493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отсутствие акушерских осложнений (беременности, послеродового периода).</w:t>
      </w:r>
    </w:p>
    <w:p w:rsidR="006C4493" w:rsidRDefault="006C4493" w:rsidP="006C4493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Выписка из стационара проводится после двукратного отрицательного результата лабораторного исследования на наличие РНК SARS-CoV-2 с интервалом не менее 1 дня.</w:t>
      </w:r>
    </w:p>
    <w:p w:rsidR="006C4493" w:rsidRDefault="006C4493" w:rsidP="006C449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Прогноз для матери и плода зависит от триместра гестации, в котором возникло заболевание, наличия преморбидного фона (курение, ожирение, фоновые заболевания органов дыхательной системы и ЛОР-органов, сахарный диабет, ВИЧ-инфекция), степени тяжести инфекционного процесса, наличия осложнений и своевременности начала противовирусной терапии.</w:t>
      </w:r>
    </w:p>
    <w:p w:rsidR="006C4493" w:rsidRPr="00E806AB" w:rsidRDefault="006C4493" w:rsidP="006C4493">
      <w:pPr>
        <w:ind w:firstLine="709"/>
        <w:jc w:val="both"/>
        <w:outlineLvl w:val="2"/>
        <w:rPr>
          <w:sz w:val="24"/>
          <w:szCs w:val="24"/>
        </w:rPr>
      </w:pPr>
    </w:p>
    <w:p w:rsidR="006C4493" w:rsidRDefault="006C4493" w:rsidP="006C4493">
      <w:pPr>
        <w:jc w:val="both"/>
        <w:outlineLvl w:val="2"/>
        <w:rPr>
          <w:b/>
          <w:bCs/>
          <w:color w:val="333333"/>
          <w:sz w:val="24"/>
          <w:szCs w:val="24"/>
        </w:rPr>
      </w:pPr>
    </w:p>
    <w:p w:rsidR="006C4493" w:rsidRPr="0090745C" w:rsidRDefault="006C4493" w:rsidP="006C4493">
      <w:pPr>
        <w:jc w:val="center"/>
        <w:outlineLvl w:val="2"/>
        <w:rPr>
          <w:b/>
          <w:bCs/>
          <w:color w:val="17365D" w:themeColor="text2" w:themeShade="BF"/>
          <w:sz w:val="24"/>
          <w:szCs w:val="24"/>
        </w:rPr>
      </w:pPr>
      <w:r w:rsidRPr="0090745C">
        <w:rPr>
          <w:b/>
          <w:bCs/>
          <w:color w:val="17365D" w:themeColor="text2" w:themeShade="BF"/>
          <w:sz w:val="24"/>
          <w:szCs w:val="24"/>
        </w:rPr>
        <w:t>ИВЛ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НИВЛ предпочтительнее использовать (по сравнению с высокопоточной оксигенацией) только у пациентов с сопутствующими заболеваниями - ХОБЛ, хронической сердечной недостаточностью.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Применение НИВЛ рекомендовано только при следующих условиях: сохранность сознания, стабильная гемодинамика, возможности сотрудничать с персоналом, отсутствие клаустрофобии (при применении шлемов) и сохранение механизма откашливания мокроты.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Неинвазивная респираторная поддержка не рекомендуется в следующих случаях (уровень достоверности доказательств 3, уровень убедительности рекомендаций В):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1) отсутствие самостоятельного дыхания (апноэ);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2) нестабильная гемодинамика (гипотензия, ишемия или инфаркт миокарда, жизнеугрожающая аритмия, неконтролируемая артериальная гипертензия);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3) невозможность обеспечить защиту дыхательных путей (нарушение кашля и глотания) и высокий риск аспирации;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4) избыточная бронхиальная секреция;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5) признаки нарушения сознания (возбуждение или угнетение сознания), неспособность пациента к сотрудничеству с медицинским персоналом;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6) лицевая травма, ожоги, анатомические нарушения, препятствующие установке маски;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7) выраженное ожирение;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8) неспособность пациента убрать маску с лица в случае рвоты;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9) активное кровотечение из желудочно-кишечного тракта;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lastRenderedPageBreak/>
        <w:t>10) обструкция верхних дыхательных путей;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11) дискомфорт от маски;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12) операции на верхних дыхательных путях.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Показаниями для интубации трахеи являются (достаточно одного критерия):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гипоксемия (SpO2&lt;92%) несмотря на высокопоточную оксигенотерапию или НИВЛ в положении лежа на животе,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ЧДД более 35 в мин,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нарастание видимой экскурсии грудной клетки,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нарушение /изменение сознания,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ухудшение визуализационной картины легких,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остановка дыхания,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стабильная гемодинамика.</w:t>
      </w:r>
    </w:p>
    <w:p w:rsidR="006C4493" w:rsidRPr="001924F0" w:rsidRDefault="006C4493" w:rsidP="006C4493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924F0">
        <w:rPr>
          <w:b/>
          <w:bCs/>
          <w:sz w:val="28"/>
          <w:szCs w:val="28"/>
        </w:rPr>
        <w:t>Инвазивная ИВЛ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Проведение ИВЛ направлены на обеспечение адекватного газообмена и минимизации потенциального ятрогенного повреждения легких. Основная стратегия применения ИВЛ при COVID-19 основана на временных клинических рекомендациях ФАР "Диагностика и интенсивная терапия острого респираторного дистресс-синдрома", 2020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Целевые значения газообмена при ИВЛ, ассоциированные с улучшением исхода при ОРДС: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 </w:t>
      </w:r>
      <w:r w:rsidRPr="001924F0">
        <w:rPr>
          <w:noProof/>
          <w:sz w:val="28"/>
          <w:szCs w:val="28"/>
        </w:rPr>
        <w:drawing>
          <wp:inline distT="0" distB="0" distL="0" distR="0" wp14:anchorId="24B22AD4" wp14:editId="6221CAF9">
            <wp:extent cx="285750" cy="190500"/>
            <wp:effectExtent l="19050" t="0" r="0" b="0"/>
            <wp:docPr id="6" name="Рисунок 20" descr="http://www.garant.ru/files/6/7/1362776/pict32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arant.ru/files/6/7/1362776/pict32-737539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F0">
        <w:rPr>
          <w:sz w:val="28"/>
          <w:szCs w:val="28"/>
        </w:rPr>
        <w:t> 90-105 мм рт.ст или </w:t>
      </w:r>
      <w:r w:rsidRPr="001924F0">
        <w:rPr>
          <w:noProof/>
          <w:sz w:val="28"/>
          <w:szCs w:val="28"/>
        </w:rPr>
        <w:drawing>
          <wp:inline distT="0" distB="0" distL="0" distR="0" wp14:anchorId="4574A8FE" wp14:editId="2783FFC0">
            <wp:extent cx="276225" cy="190500"/>
            <wp:effectExtent l="19050" t="0" r="9525" b="0"/>
            <wp:docPr id="10" name="Рисунок 21" descr="http://www.garant.ru/files/6/7/1362776/pict33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arant.ru/files/6/7/1362776/pict33-737539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F0">
        <w:rPr>
          <w:sz w:val="28"/>
          <w:szCs w:val="28"/>
        </w:rPr>
        <w:t> 95-98%,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 </w:t>
      </w:r>
      <w:r w:rsidRPr="001924F0">
        <w:rPr>
          <w:noProof/>
          <w:sz w:val="28"/>
          <w:szCs w:val="28"/>
        </w:rPr>
        <w:drawing>
          <wp:inline distT="0" distB="0" distL="0" distR="0" wp14:anchorId="60DF56BE" wp14:editId="730FA311">
            <wp:extent cx="371475" cy="190500"/>
            <wp:effectExtent l="19050" t="0" r="9525" b="0"/>
            <wp:docPr id="11" name="Рисунок 22" descr="http://www.garant.ru/files/6/7/1362776/pict34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arant.ru/files/6/7/1362776/pict34-737539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F0">
        <w:rPr>
          <w:sz w:val="28"/>
          <w:szCs w:val="28"/>
        </w:rPr>
        <w:t> 30-50 мм рт.ст. или </w:t>
      </w:r>
      <w:r w:rsidRPr="001924F0">
        <w:rPr>
          <w:noProof/>
          <w:sz w:val="28"/>
          <w:szCs w:val="28"/>
        </w:rPr>
        <w:drawing>
          <wp:inline distT="0" distB="0" distL="0" distR="0" wp14:anchorId="39EFC088" wp14:editId="3DB9F6E6">
            <wp:extent cx="342900" cy="190500"/>
            <wp:effectExtent l="19050" t="0" r="0" b="0"/>
            <wp:docPr id="12" name="Рисунок 23" descr="http://www.garant.ru/files/6/7/1362776/pict35-737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arant.ru/files/6/7/1362776/pict35-7375394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F0">
        <w:rPr>
          <w:sz w:val="28"/>
          <w:szCs w:val="28"/>
        </w:rPr>
        <w:t> капнограммы 27-45 мм рт.ст.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При искусственной вентиляции легких у пациентов с ОРДС рекомендовано использовать дыхательный объем 6-8 мл/кг идеальной массы тела, так как применение ДО 9 мл/кг ИМТ и более приводит к увеличению осложнений и летальности.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Проведение "безопасной" ИВЛ возможно как в режимах с управляемым давлением (PC), так и в режимах с управляемым объемом (VC). При этом в режимах с управляемым объемом желательно использовать нисходящую форму инспираторного потока, так как она обеспечивает лучшее распределение газа в разных отделах легких и меньшее давление в дыхательных путях. В настоящее время отсутствуют убедительные данные о преимуществе какого-либо из вспомогательных режимов респираторной поддержки. При применении управляемых режимов респираторной поддержки следует как можно быстрее перейти к режимам вспомогательной вентиляции.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У пациентов с ОРДС легкой и средней степени тяжести при появлении инспираторных попыток пациента после интубации трахеи и реверсии миоплегии рекомендовано, при отсутствии патологических ритмов дыхания и технической возможности, переключить аппарат ИВЛ на полностью вспомогательный режим вентиляции (в большинстве аппаратов ИВЛ - режим PSV) для улучшения распределения газа в легких, профилактики ателектазирования легких и профилактики атрофии диафрагмы.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У пациентов с ОРДС вследствие COVID-19 рекомендовано </w:t>
      </w:r>
      <w:r w:rsidRPr="001924F0">
        <w:rPr>
          <w:sz w:val="28"/>
          <w:szCs w:val="28"/>
        </w:rPr>
        <w:lastRenderedPageBreak/>
        <w:t>использовать РЕЕР 10-20 см вод.ст. (в зависимости от типа ОРДС и рекрутабельности альвеол):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при малорекрутабельных легких: очаговые повреждения альвеол на КТ, давление плато менее 30 см вод.ст., статическая податливость респираторной системы 40 мл/см вод.ст. и выше - РЕЕР 10-12 см вод.ст;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при рекрутабельных легких: сливные повреждения альвеол на КТ, картина "мокрой губки" на КТ, давление плато выше 30 см вод.ст., статическая податливость респираторной системы менее 40 мл/см вод.ст. и выше - РЕЕР 15-20 см вод.ст.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- даже при отнесении легких к нерекрутабельному типу рекомендовано повышение РЕЕР до 15 см вод.ст. для оценки эффективности.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Полная методология применения РЕЕР подробно описана в Клинических рекомендациях ФАР "Диагностика и интенсивная терапия острого респираторного дистресс-синдрома".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У пациентов с ОРДС вследствие COVID-19 рутинное применение маневров рекрутирования альвеол не рекомендовано вследствие невысокой рекрутабельности и высокого риска острого легочного сердца.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У пациентов с ОРДС вследствие COVID-19 при проведении ИВЛ рекомендовано использовать неинвертированное соотношение вдоха к выдоху для более равномерного распределения газа в легких и снижения отрицательного влияния ИВЛ на постнагрузку правого желудочка; рутинное применение инверсного соотношения вдоха к выдоху (более 1 к 1,2) не рекомендовано.</w:t>
      </w:r>
    </w:p>
    <w:p w:rsidR="006C4493" w:rsidRPr="001924F0" w:rsidRDefault="006C4493" w:rsidP="006C4493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924F0">
        <w:rPr>
          <w:b/>
          <w:bCs/>
          <w:sz w:val="28"/>
          <w:szCs w:val="28"/>
        </w:rPr>
        <w:t>Вентиляция в положении лежа на животе (прон-позиции)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При проведении ИВЛ у пациентов с ОРДС вследствие COVID-19 рекомендовано использование положения лежа на животе в течение не менее 16 часов в сутки для улучшения оксигенации и возможного снижения летальности (уровень достоверности доказательств 1, уровень убедительности рекомендаций А). Методология прон-позиции: пациента следует положить на живот, предварительно положив валики под грудную клетку и таз с таким расчетом, чтобы живот не оказывал избыточного давления на диафрагму, а также не создавалось условий для развития пролежней лица.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</w:p>
    <w:p w:rsidR="006C4493" w:rsidRPr="0090745C" w:rsidRDefault="006C4493" w:rsidP="006C4493">
      <w:pPr>
        <w:pStyle w:val="a5"/>
        <w:jc w:val="center"/>
        <w:rPr>
          <w:b/>
          <w:color w:val="17365D" w:themeColor="text2" w:themeShade="BF"/>
          <w:sz w:val="28"/>
          <w:szCs w:val="28"/>
        </w:rPr>
      </w:pPr>
      <w:r w:rsidRPr="0090745C">
        <w:rPr>
          <w:b/>
          <w:color w:val="17365D" w:themeColor="text2" w:themeShade="BF"/>
          <w:sz w:val="28"/>
          <w:szCs w:val="28"/>
        </w:rPr>
        <w:t>Основы инфузионной терапии и трансфузиологии в отделении интенсивной терапии пациентов с новой коронавирусной инфекцией</w:t>
      </w:r>
    </w:p>
    <w:p w:rsidR="006C4493" w:rsidRPr="001924F0" w:rsidRDefault="006C4493" w:rsidP="006C44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F0">
        <w:rPr>
          <w:color w:val="000000"/>
          <w:sz w:val="28"/>
          <w:szCs w:val="28"/>
          <w:shd w:val="clear" w:color="auto" w:fill="FFFFFF"/>
        </w:rPr>
        <w:t xml:space="preserve">При лечении COVID-19 необходимо обеспечивать достаточное поступление жидкости в организм. Восполнение суточной потребности в жидкости должно обеспечиваться преимущественно за счет пероральной регидратации. Суточная потребность в жидкости должна рассчитываться с учетом лихорадки, одышки, потерь жидкости при диарее, рвоте (в случае наличия у пациента таких симптомов). В среднем достаточное количество жидкости (1,5-2 литра в сутки и более, если нет противопоказаний по соматической патологии). При выраженной интоксикации, а также при </w:t>
      </w:r>
      <w:r w:rsidRPr="001924F0">
        <w:rPr>
          <w:color w:val="000000"/>
          <w:sz w:val="28"/>
          <w:szCs w:val="28"/>
          <w:shd w:val="clear" w:color="auto" w:fill="FFFFFF"/>
        </w:rPr>
        <w:lastRenderedPageBreak/>
        <w:t>дискомфорте в животе, тошноте и/или рвоте показаны энтеросорбенты (диоксид кремния коллоидный, полиметилсилоксанаполигидрат и другие).</w:t>
      </w:r>
      <w:r w:rsidRPr="001924F0">
        <w:rPr>
          <w:color w:val="000000"/>
          <w:sz w:val="28"/>
          <w:szCs w:val="28"/>
        </w:rPr>
        <w:br/>
      </w:r>
      <w:r w:rsidRPr="001924F0">
        <w:rPr>
          <w:color w:val="000000"/>
          <w:sz w:val="28"/>
          <w:szCs w:val="28"/>
        </w:rPr>
        <w:br/>
        <w:t>У пациентов в тяжелом состоянии (отделения реанимации и интенсивной терапии) при наличии показаний проводится инфузионная терапия. Следует с осторожностью подходить к инфузионной терапии, поскольку избыточные трансфузии жидкостей могут ухудшить насыщение крови кислородом, особенно в условиях ограниченных возможностей искусственной вентиляции легких, а также спровоцировать или усугубить проявления ОРДС. Объем инфузионной терапии должен составлять 10-15 мл/кг/сут.</w:t>
      </w:r>
    </w:p>
    <w:p w:rsidR="006C4493" w:rsidRPr="001924F0" w:rsidRDefault="006C4493" w:rsidP="006C44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F0">
        <w:rPr>
          <w:color w:val="000000"/>
          <w:sz w:val="28"/>
          <w:szCs w:val="28"/>
        </w:rPr>
        <w:t>При проведении инфузионной терапии важное значение имеет скорость введения жидкости. Чем меньше скорость введения жидкости, тем безопаснее для пациента.</w:t>
      </w:r>
    </w:p>
    <w:p w:rsidR="006C4493" w:rsidRPr="001924F0" w:rsidRDefault="006C4493" w:rsidP="006C44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F0">
        <w:rPr>
          <w:color w:val="000000"/>
          <w:sz w:val="28"/>
          <w:szCs w:val="28"/>
        </w:rPr>
        <w:t>В условиях проведения инфузионной терапии врач оценивает суточный диурез, динамику артериального давления, изменения аускультативной картины в легких, гематокрита (не ниже 0.35/л). При снижении объема диуреза, повышении артериального давления, увеличения количества хрипов в легких, снижении гематокрита объем парентерально вводимой жидкости должен быть уменьшен.</w:t>
      </w:r>
    </w:p>
    <w:p w:rsidR="006C4493" w:rsidRPr="001924F0" w:rsidRDefault="006C4493" w:rsidP="006C44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F0">
        <w:rPr>
          <w:color w:val="000000"/>
          <w:sz w:val="28"/>
          <w:szCs w:val="28"/>
        </w:rPr>
        <w:t>Для снижения объема инфузионной терапии поддержание нутритивного статуса пациента при необходимости нужно проводить методом зондового питания с использованием стандартных и полуэлементарных смесей для энтерального питания. Питание должно быть частым и дробным для исключения переполнения желудка и уменьшения экскурсии легких.</w:t>
      </w:r>
    </w:p>
    <w:p w:rsidR="006C4493" w:rsidRPr="001924F0" w:rsidRDefault="006C4493" w:rsidP="006C4493">
      <w:pPr>
        <w:jc w:val="center"/>
        <w:rPr>
          <w:b/>
          <w:sz w:val="28"/>
          <w:szCs w:val="28"/>
        </w:rPr>
      </w:pPr>
      <w:r w:rsidRPr="001924F0">
        <w:rPr>
          <w:b/>
          <w:sz w:val="28"/>
          <w:szCs w:val="28"/>
        </w:rPr>
        <w:t xml:space="preserve">Трансфузиология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1.Доноры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По крайней мере, через две недели после выздоровления и выписки (тест на наличие нуклеиновых кислот в образце, взятом из нижних дыхательных путей, остается отрицательным в течение нескольких дней). 18≤ Возраст ≤ 55. Масса тела&gt; 50 кг (для мужчин) или&gt; 45 кг (для женщин). По крайней мере, одна неделя с момента последнего использования глюкокортикоидов. Более двух недель с момента последнего донорства крови. </w:t>
      </w:r>
    </w:p>
    <w:p w:rsidR="006C4493" w:rsidRPr="001924F0" w:rsidRDefault="006C4493" w:rsidP="006C4493">
      <w:pPr>
        <w:pStyle w:val="a5"/>
        <w:widowControl/>
        <w:numPr>
          <w:ilvl w:val="1"/>
          <w:numId w:val="28"/>
        </w:numPr>
        <w:autoSpaceDE/>
        <w:autoSpaceDN/>
        <w:contextualSpacing/>
        <w:rPr>
          <w:sz w:val="28"/>
          <w:szCs w:val="28"/>
        </w:rPr>
      </w:pPr>
      <w:r w:rsidRPr="001924F0">
        <w:rPr>
          <w:sz w:val="28"/>
          <w:szCs w:val="28"/>
        </w:rPr>
        <w:t xml:space="preserve">Метод забора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Плазмаферез, 200-400 мл каждый раз (на основании медицинской консультации). </w:t>
      </w:r>
    </w:p>
    <w:p w:rsidR="006C4493" w:rsidRPr="001924F0" w:rsidRDefault="006C4493" w:rsidP="006C4493">
      <w:pPr>
        <w:pStyle w:val="a5"/>
        <w:widowControl/>
        <w:numPr>
          <w:ilvl w:val="1"/>
          <w:numId w:val="28"/>
        </w:numPr>
        <w:autoSpaceDE/>
        <w:autoSpaceDN/>
        <w:contextualSpacing/>
        <w:rPr>
          <w:sz w:val="28"/>
          <w:szCs w:val="28"/>
        </w:rPr>
      </w:pPr>
      <w:r w:rsidRPr="001924F0">
        <w:rPr>
          <w:sz w:val="28"/>
          <w:szCs w:val="28"/>
        </w:rPr>
        <w:t xml:space="preserve">Исследование после забора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В дополнение к общему качественному анализу и исследования на заболевания, передающиеся через кровь, образцы крови должны быть проверены на: </w:t>
      </w:r>
    </w:p>
    <w:p w:rsidR="006C4493" w:rsidRPr="001924F0" w:rsidRDefault="006C4493" w:rsidP="006C4493">
      <w:pPr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(1) Исследование на нуклеиновое кислоты SARS-CoV-2; </w:t>
      </w:r>
    </w:p>
    <w:p w:rsidR="006C4493" w:rsidRPr="001924F0" w:rsidRDefault="006C4493" w:rsidP="006C4493">
      <w:pPr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(2) 160-кратное разведение для качественного исследования по определению специфических IgG и IgM для SARS-CoV-2; или 320-кратное разведение для качественного теста обнаружения цельных антител. При возможности </w:t>
      </w:r>
      <w:r w:rsidRPr="001924F0">
        <w:rPr>
          <w:sz w:val="28"/>
          <w:szCs w:val="28"/>
        </w:rPr>
        <w:lastRenderedPageBreak/>
        <w:t xml:space="preserve">рекомендуется сохранять &gt; 3 мл плазмы для экспериментов по нейтрализации вируса. Следует отметить следующее. При сравнении титра нейтрализации вируса и количественного люминесцентного определения антител IgG, мы обнаружили, что представленное обнаружение специфических IgG антител против SARS-CoV-2 не полностью демонстрирует фактическую способность плазмы нейтрализовать вирус. Поэтому мы предложили в качестве первого варианта тест на нейтрализацию вируса, или общий уровень антител при 320-кратном разведении плазмы.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2.Клиническое использование плазмы реконвалесцентов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2.1 Показания к применению </w:t>
      </w:r>
    </w:p>
    <w:p w:rsidR="006C4493" w:rsidRPr="001924F0" w:rsidRDefault="006C4493" w:rsidP="006C4493">
      <w:pPr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(1) Тяжелые или критически больные пациенты с COVID-19, которые дали положительный результат при исследовании дыхательных путей; </w:t>
      </w:r>
    </w:p>
    <w:p w:rsidR="006C4493" w:rsidRPr="001924F0" w:rsidRDefault="006C4493" w:rsidP="006C4493">
      <w:pPr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(2) Пациенты с COVID-19, которые не являются тяжелыми или критическими, но находятся в состоянии подавления иммунитета; или имеют низкие значения СТ при исследовании нуклеиновой кислоты вируса, но с быстрым прогрессированием заболевания в легких.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Примечание: В принципе, реконвалесцентная плазма не должна использоваться у пациентов с COVID-19, у которых течение заболевания превышает три недели. Однако в клинических применениях мы обнаружили, что терапия плазмой реконвалесцентов эффективна для пациентов с течением заболевания, превышающим три недели, и у которых при исследовании образцов из дыхательных путей постоянно обнаруживается нуклеиновая кислота вирусов. Это может ускорить очищение от вируса, увеличить количество лимфоцитов и клеток-киллеров в плазме, снизить уровень молочной кислоты в плазме и улучшить функции почек.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2.2 Противопоказание </w:t>
      </w:r>
    </w:p>
    <w:p w:rsidR="006C4493" w:rsidRPr="001924F0" w:rsidRDefault="006C4493" w:rsidP="006C4493">
      <w:pPr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(1) Наличие в анамнезе аллергии на плазму, цитрат натрия и метиленовый синий; </w:t>
      </w:r>
    </w:p>
    <w:p w:rsidR="006C4493" w:rsidRPr="001924F0" w:rsidRDefault="006C4493" w:rsidP="006C4493">
      <w:pPr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(2) Для пациентов с аутоиммунными заболеваниями в анамнезе или селективным дефицитом IgA применение плазмы реконвалесцентов должно оцениваться врачами с осторожностью. </w:t>
      </w:r>
    </w:p>
    <w:p w:rsidR="006C4493" w:rsidRPr="001924F0" w:rsidRDefault="006C4493" w:rsidP="006C44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F0">
        <w:rPr>
          <w:sz w:val="28"/>
          <w:szCs w:val="28"/>
        </w:rPr>
        <w:t>2.3 План введения. Как правило, дозировка при терапии плазмой реконвалесцентов составляет 5400 мл на одну инфузию, или ≥ 200 мл на инфузию для нескольких инфузий.</w:t>
      </w:r>
    </w:p>
    <w:p w:rsidR="006C4493" w:rsidRPr="001924F0" w:rsidRDefault="006C4493" w:rsidP="006C4493">
      <w:pPr>
        <w:pStyle w:val="a5"/>
        <w:ind w:left="0"/>
        <w:jc w:val="center"/>
        <w:rPr>
          <w:b/>
          <w:sz w:val="28"/>
          <w:szCs w:val="28"/>
        </w:rPr>
      </w:pPr>
      <w:r w:rsidRPr="001924F0">
        <w:rPr>
          <w:rFonts w:ascii="Arial" w:hAnsi="Arial" w:cs="Arial"/>
          <w:color w:val="000000"/>
          <w:sz w:val="28"/>
          <w:szCs w:val="28"/>
        </w:rPr>
        <w:br/>
      </w:r>
      <w:r w:rsidRPr="001924F0">
        <w:rPr>
          <w:b/>
          <w:sz w:val="28"/>
          <w:szCs w:val="28"/>
        </w:rPr>
        <w:t xml:space="preserve"> </w:t>
      </w:r>
      <w:r w:rsidRPr="001924F0">
        <w:rPr>
          <w:b/>
          <w:color w:val="17365D" w:themeColor="text2" w:themeShade="BF"/>
          <w:sz w:val="28"/>
          <w:szCs w:val="28"/>
        </w:rPr>
        <w:t>Принципы проведения искусственного лечебного питания пациента с новой коронавирусной инфекцией в отделении интенсивной терапии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Тяжелобольные и критические пациенты с COVID-19, которые находятся в состоянии сильного стресса, подвергаются высоким нутритивным рискам. Ранняя оценка нутритивного риска, желудочно-кишечных функций и риска аспирации, а также своевременная энтеральная нутритивная поддержка имеют большое значение для прогнозирования.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(1) Предпочтительным вариантом является пероральное питание. Кишечное питание на раннем этапе может обеспечить нутритивную поддержку и питание кишечник, положительно повлиять на слизистый </w:t>
      </w:r>
      <w:r w:rsidRPr="001924F0">
        <w:rPr>
          <w:sz w:val="28"/>
          <w:szCs w:val="28"/>
        </w:rPr>
        <w:lastRenderedPageBreak/>
        <w:t xml:space="preserve">барьер кишечника и кишечный иммунитет, а также поддержать кишечную микроэкологию.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(2) Энтеральный путь питания. Тяжелобольные и критические пациенты часто имеют острые желудочно-кишечные повреждения, которые проявляются в виде вздутия живота, диареи и гастропареза. Для пациентов с интубацией трахеи рекомендуется использование кишечной питательной трубки для постпилорического питания.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(3) Выбор питательного раствора. Для пациентов с повреждением кишечника рекомендуются предварительно переваренные короткопептидные препараты, которые легко усваиваются и используются кишечником. Для пациентов с хорошей функцией кишечника возможен выбор цельнобелковых препаратов с относительно высокой калорийностью. Для пациентов с гипергликемией рекомендуются питательные препараты, способствующие контролю гликемии.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(4) Для обеспечения 25-30 ккал энергии на кг массы тела целевое содержание белка составляет 1,2-2,0 г/кг ежедневно.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 xml:space="preserve">(5) Способы нутритивной поддержки. Можно использовать насосное вливание питательных веществ с равномерной скоростью, начав с низкой дозировки и постепенно увеличивая ее. По возможности питательные вещества можно подогреть перед питанием для снижения непереносимости. </w:t>
      </w:r>
    </w:p>
    <w:p w:rsidR="006C4493" w:rsidRPr="001924F0" w:rsidRDefault="006C4493" w:rsidP="006C4493">
      <w:pPr>
        <w:ind w:firstLine="709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(6) Для пожилых пациентов с высоким риском аспирации или пациентов с явным вздутием живота возможно временное парентеральное питание. Его можно постепенно заменять на самостоятельную диету или энтеральное питание после улучшения состояния.</w:t>
      </w:r>
    </w:p>
    <w:p w:rsidR="006C4493" w:rsidRPr="001924F0" w:rsidRDefault="006C4493" w:rsidP="006C4493">
      <w:pPr>
        <w:jc w:val="both"/>
        <w:rPr>
          <w:b/>
          <w:color w:val="365F91" w:themeColor="accent1" w:themeShade="BF"/>
          <w:sz w:val="28"/>
          <w:szCs w:val="28"/>
        </w:rPr>
      </w:pPr>
    </w:p>
    <w:p w:rsidR="006C4493" w:rsidRDefault="006C4493" w:rsidP="006C4493">
      <w:pPr>
        <w:jc w:val="both"/>
        <w:rPr>
          <w:b/>
          <w:color w:val="365F91" w:themeColor="accent1" w:themeShade="BF"/>
          <w:sz w:val="28"/>
          <w:szCs w:val="28"/>
        </w:rPr>
      </w:pPr>
    </w:p>
    <w:p w:rsidR="006C4493" w:rsidRDefault="006C4493" w:rsidP="006C4493">
      <w:pPr>
        <w:pBdr>
          <w:bottom w:val="single" w:sz="12" w:space="1" w:color="auto"/>
        </w:pBdr>
        <w:jc w:val="both"/>
        <w:rPr>
          <w:b/>
          <w:color w:val="365F91" w:themeColor="accent1" w:themeShade="BF"/>
          <w:sz w:val="28"/>
          <w:szCs w:val="28"/>
        </w:rPr>
      </w:pPr>
    </w:p>
    <w:p w:rsidR="006C4493" w:rsidRDefault="006C4493" w:rsidP="006C4493">
      <w:pPr>
        <w:pStyle w:val="a3"/>
        <w:tabs>
          <w:tab w:val="left" w:pos="284"/>
        </w:tabs>
        <w:ind w:left="567"/>
        <w:jc w:val="lef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При составлении материала использовались:  </w:t>
      </w:r>
    </w:p>
    <w:p w:rsidR="006C4493" w:rsidRPr="0062211F" w:rsidRDefault="006C4493" w:rsidP="006C4493">
      <w:pPr>
        <w:pStyle w:val="a3"/>
        <w:numPr>
          <w:ilvl w:val="0"/>
          <w:numId w:val="27"/>
        </w:numPr>
        <w:tabs>
          <w:tab w:val="left" w:pos="284"/>
        </w:tabs>
        <w:jc w:val="left"/>
        <w:rPr>
          <w:sz w:val="32"/>
          <w:szCs w:val="32"/>
          <w:vertAlign w:val="superscript"/>
        </w:rPr>
      </w:pPr>
      <w:r>
        <w:rPr>
          <w:color w:val="000000"/>
          <w:sz w:val="32"/>
          <w:szCs w:val="32"/>
          <w:shd w:val="clear" w:color="auto" w:fill="F9FAFD"/>
          <w:vertAlign w:val="superscript"/>
        </w:rPr>
        <w:t>Временные методические рекомендации «Профилактика, диагностика и лечение новой коронавирусной инфекции (COVID-19)» Версия 6 от 28.04.2020г.</w:t>
      </w:r>
    </w:p>
    <w:p w:rsidR="006C4493" w:rsidRPr="0062211F" w:rsidRDefault="006C4493" w:rsidP="006C4493">
      <w:pPr>
        <w:pStyle w:val="a3"/>
        <w:numPr>
          <w:ilvl w:val="0"/>
          <w:numId w:val="27"/>
        </w:numPr>
        <w:tabs>
          <w:tab w:val="left" w:pos="284"/>
        </w:tabs>
        <w:jc w:val="left"/>
        <w:rPr>
          <w:sz w:val="32"/>
          <w:szCs w:val="32"/>
          <w:vertAlign w:val="superscript"/>
        </w:rPr>
      </w:pPr>
      <w:r w:rsidRPr="0062211F">
        <w:rPr>
          <w:vertAlign w:val="superscript"/>
        </w:rPr>
        <w:t>Руководство по профилактике и лечению новой коронавирусной инфекции COVID-19</w:t>
      </w:r>
    </w:p>
    <w:p w:rsidR="006C4493" w:rsidRPr="0062211F" w:rsidRDefault="006C4493" w:rsidP="006C4493">
      <w:pPr>
        <w:jc w:val="both"/>
        <w:rPr>
          <w:b/>
          <w:color w:val="365F91" w:themeColor="accent1" w:themeShade="BF"/>
          <w:sz w:val="28"/>
          <w:szCs w:val="28"/>
          <w:vertAlign w:val="superscript"/>
        </w:rPr>
      </w:pPr>
    </w:p>
    <w:p w:rsidR="00C76236" w:rsidRPr="006C4493" w:rsidRDefault="006C4493" w:rsidP="006C4493">
      <w:bookmarkStart w:id="0" w:name="_GoBack"/>
      <w:bookmarkEnd w:id="0"/>
    </w:p>
    <w:sectPr w:rsidR="00C76236" w:rsidRPr="006C4493" w:rsidSect="002B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3FF"/>
    <w:multiLevelType w:val="multilevel"/>
    <w:tmpl w:val="74A2D678"/>
    <w:lvl w:ilvl="0">
      <w:start w:val="5"/>
      <w:numFmt w:val="decimal"/>
      <w:lvlText w:val="%1."/>
      <w:lvlJc w:val="left"/>
      <w:pPr>
        <w:ind w:left="1650" w:hanging="281"/>
        <w:jc w:val="left"/>
      </w:pPr>
      <w:rPr>
        <w:rFonts w:ascii="Times New Roman" w:eastAsia="Times New Roman" w:hAnsi="Times New Roman" w:cs="Times New Roman" w:hint="default"/>
        <w:b/>
        <w:bCs/>
        <w:color w:val="1F487C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62" w:hanging="493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70" w:hanging="761"/>
        <w:jc w:val="left"/>
      </w:pPr>
      <w:rPr>
        <w:rFonts w:ascii="Times New Roman" w:eastAsia="Times New Roman" w:hAnsi="Times New Roman" w:cs="Times New Roman" w:hint="default"/>
        <w:b/>
        <w:bCs/>
        <w:color w:val="1F487C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46" w:hanging="7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2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9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8" w:hanging="761"/>
      </w:pPr>
      <w:rPr>
        <w:rFonts w:hint="default"/>
        <w:lang w:val="ru-RU" w:eastAsia="ru-RU" w:bidi="ru-RU"/>
      </w:rPr>
    </w:lvl>
  </w:abstractNum>
  <w:abstractNum w:abstractNumId="1">
    <w:nsid w:val="034344D1"/>
    <w:multiLevelType w:val="hybridMultilevel"/>
    <w:tmpl w:val="A6CA3C5E"/>
    <w:lvl w:ilvl="0" w:tplc="60E22B44">
      <w:start w:val="1"/>
      <w:numFmt w:val="decimal"/>
      <w:lvlText w:val="%1."/>
      <w:lvlJc w:val="left"/>
      <w:pPr>
        <w:ind w:left="6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C70BDFE">
      <w:numFmt w:val="bullet"/>
      <w:lvlText w:val=""/>
      <w:lvlJc w:val="left"/>
      <w:pPr>
        <w:ind w:left="1682" w:hanging="31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F6F680">
      <w:numFmt w:val="bullet"/>
      <w:lvlText w:val="•"/>
      <w:lvlJc w:val="left"/>
      <w:pPr>
        <w:ind w:left="2665" w:hanging="315"/>
      </w:pPr>
      <w:rPr>
        <w:rFonts w:hint="default"/>
        <w:lang w:val="ru-RU" w:eastAsia="ru-RU" w:bidi="ru-RU"/>
      </w:rPr>
    </w:lvl>
    <w:lvl w:ilvl="3" w:tplc="18E8F41E">
      <w:numFmt w:val="bullet"/>
      <w:lvlText w:val="•"/>
      <w:lvlJc w:val="left"/>
      <w:pPr>
        <w:ind w:left="3651" w:hanging="315"/>
      </w:pPr>
      <w:rPr>
        <w:rFonts w:hint="default"/>
        <w:lang w:val="ru-RU" w:eastAsia="ru-RU" w:bidi="ru-RU"/>
      </w:rPr>
    </w:lvl>
    <w:lvl w:ilvl="4" w:tplc="C76038C4">
      <w:numFmt w:val="bullet"/>
      <w:lvlText w:val="•"/>
      <w:lvlJc w:val="left"/>
      <w:pPr>
        <w:ind w:left="4637" w:hanging="315"/>
      </w:pPr>
      <w:rPr>
        <w:rFonts w:hint="default"/>
        <w:lang w:val="ru-RU" w:eastAsia="ru-RU" w:bidi="ru-RU"/>
      </w:rPr>
    </w:lvl>
    <w:lvl w:ilvl="5" w:tplc="37A894D6">
      <w:numFmt w:val="bullet"/>
      <w:lvlText w:val="•"/>
      <w:lvlJc w:val="left"/>
      <w:pPr>
        <w:ind w:left="5622" w:hanging="315"/>
      </w:pPr>
      <w:rPr>
        <w:rFonts w:hint="default"/>
        <w:lang w:val="ru-RU" w:eastAsia="ru-RU" w:bidi="ru-RU"/>
      </w:rPr>
    </w:lvl>
    <w:lvl w:ilvl="6" w:tplc="424CCAD6">
      <w:numFmt w:val="bullet"/>
      <w:lvlText w:val="•"/>
      <w:lvlJc w:val="left"/>
      <w:pPr>
        <w:ind w:left="6608" w:hanging="315"/>
      </w:pPr>
      <w:rPr>
        <w:rFonts w:hint="default"/>
        <w:lang w:val="ru-RU" w:eastAsia="ru-RU" w:bidi="ru-RU"/>
      </w:rPr>
    </w:lvl>
    <w:lvl w:ilvl="7" w:tplc="218C6B1C">
      <w:numFmt w:val="bullet"/>
      <w:lvlText w:val="•"/>
      <w:lvlJc w:val="left"/>
      <w:pPr>
        <w:ind w:left="7594" w:hanging="315"/>
      </w:pPr>
      <w:rPr>
        <w:rFonts w:hint="default"/>
        <w:lang w:val="ru-RU" w:eastAsia="ru-RU" w:bidi="ru-RU"/>
      </w:rPr>
    </w:lvl>
    <w:lvl w:ilvl="8" w:tplc="7A0E0926">
      <w:numFmt w:val="bullet"/>
      <w:lvlText w:val="•"/>
      <w:lvlJc w:val="left"/>
      <w:pPr>
        <w:ind w:left="8579" w:hanging="315"/>
      </w:pPr>
      <w:rPr>
        <w:rFonts w:hint="default"/>
        <w:lang w:val="ru-RU" w:eastAsia="ru-RU" w:bidi="ru-RU"/>
      </w:rPr>
    </w:lvl>
  </w:abstractNum>
  <w:abstractNum w:abstractNumId="2">
    <w:nsid w:val="09E26207"/>
    <w:multiLevelType w:val="hybridMultilevel"/>
    <w:tmpl w:val="D12C2028"/>
    <w:lvl w:ilvl="0" w:tplc="27680DDA">
      <w:start w:val="1"/>
      <w:numFmt w:val="decimal"/>
      <w:lvlText w:val="%1."/>
      <w:lvlJc w:val="left"/>
      <w:pPr>
        <w:ind w:left="16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8A9D6E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2" w:tplc="1DA21190">
      <w:numFmt w:val="bullet"/>
      <w:lvlText w:val="•"/>
      <w:lvlJc w:val="left"/>
      <w:pPr>
        <w:ind w:left="3438" w:hanging="281"/>
      </w:pPr>
      <w:rPr>
        <w:rFonts w:hint="default"/>
        <w:lang w:val="ru-RU" w:eastAsia="ru-RU" w:bidi="ru-RU"/>
      </w:rPr>
    </w:lvl>
    <w:lvl w:ilvl="3" w:tplc="11CAB718">
      <w:numFmt w:val="bullet"/>
      <w:lvlText w:val="•"/>
      <w:lvlJc w:val="left"/>
      <w:pPr>
        <w:ind w:left="4327" w:hanging="281"/>
      </w:pPr>
      <w:rPr>
        <w:rFonts w:hint="default"/>
        <w:lang w:val="ru-RU" w:eastAsia="ru-RU" w:bidi="ru-RU"/>
      </w:rPr>
    </w:lvl>
    <w:lvl w:ilvl="4" w:tplc="929E42F4">
      <w:numFmt w:val="bullet"/>
      <w:lvlText w:val="•"/>
      <w:lvlJc w:val="left"/>
      <w:pPr>
        <w:ind w:left="5216" w:hanging="281"/>
      </w:pPr>
      <w:rPr>
        <w:rFonts w:hint="default"/>
        <w:lang w:val="ru-RU" w:eastAsia="ru-RU" w:bidi="ru-RU"/>
      </w:rPr>
    </w:lvl>
    <w:lvl w:ilvl="5" w:tplc="1FF45914">
      <w:numFmt w:val="bullet"/>
      <w:lvlText w:val="•"/>
      <w:lvlJc w:val="left"/>
      <w:pPr>
        <w:ind w:left="6105" w:hanging="281"/>
      </w:pPr>
      <w:rPr>
        <w:rFonts w:hint="default"/>
        <w:lang w:val="ru-RU" w:eastAsia="ru-RU" w:bidi="ru-RU"/>
      </w:rPr>
    </w:lvl>
    <w:lvl w:ilvl="6" w:tplc="EA1E1516">
      <w:numFmt w:val="bullet"/>
      <w:lvlText w:val="•"/>
      <w:lvlJc w:val="left"/>
      <w:pPr>
        <w:ind w:left="6994" w:hanging="281"/>
      </w:pPr>
      <w:rPr>
        <w:rFonts w:hint="default"/>
        <w:lang w:val="ru-RU" w:eastAsia="ru-RU" w:bidi="ru-RU"/>
      </w:rPr>
    </w:lvl>
    <w:lvl w:ilvl="7" w:tplc="4F083F8A">
      <w:numFmt w:val="bullet"/>
      <w:lvlText w:val="•"/>
      <w:lvlJc w:val="left"/>
      <w:pPr>
        <w:ind w:left="7883" w:hanging="281"/>
      </w:pPr>
      <w:rPr>
        <w:rFonts w:hint="default"/>
        <w:lang w:val="ru-RU" w:eastAsia="ru-RU" w:bidi="ru-RU"/>
      </w:rPr>
    </w:lvl>
    <w:lvl w:ilvl="8" w:tplc="DF7650C4">
      <w:numFmt w:val="bullet"/>
      <w:lvlText w:val="•"/>
      <w:lvlJc w:val="left"/>
      <w:pPr>
        <w:ind w:left="8772" w:hanging="281"/>
      </w:pPr>
      <w:rPr>
        <w:rFonts w:hint="default"/>
        <w:lang w:val="ru-RU" w:eastAsia="ru-RU" w:bidi="ru-RU"/>
      </w:rPr>
    </w:lvl>
  </w:abstractNum>
  <w:abstractNum w:abstractNumId="3">
    <w:nsid w:val="1C3C60E2"/>
    <w:multiLevelType w:val="hybridMultilevel"/>
    <w:tmpl w:val="17B26826"/>
    <w:lvl w:ilvl="0" w:tplc="A41C3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FBA"/>
    <w:multiLevelType w:val="hybridMultilevel"/>
    <w:tmpl w:val="083068CA"/>
    <w:lvl w:ilvl="0" w:tplc="AA6CA466">
      <w:start w:val="1"/>
      <w:numFmt w:val="upperRoman"/>
      <w:lvlText w:val="%1"/>
      <w:lvlJc w:val="left"/>
      <w:pPr>
        <w:ind w:left="825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2CA70E">
      <w:numFmt w:val="bullet"/>
      <w:lvlText w:val=""/>
      <w:lvlJc w:val="left"/>
      <w:pPr>
        <w:ind w:left="1682" w:hanging="31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1C22E54">
      <w:numFmt w:val="bullet"/>
      <w:lvlText w:val="•"/>
      <w:lvlJc w:val="left"/>
      <w:pPr>
        <w:ind w:left="2665" w:hanging="315"/>
      </w:pPr>
      <w:rPr>
        <w:rFonts w:hint="default"/>
        <w:lang w:val="ru-RU" w:eastAsia="ru-RU" w:bidi="ru-RU"/>
      </w:rPr>
    </w:lvl>
    <w:lvl w:ilvl="3" w:tplc="CFF46580">
      <w:numFmt w:val="bullet"/>
      <w:lvlText w:val="•"/>
      <w:lvlJc w:val="left"/>
      <w:pPr>
        <w:ind w:left="3651" w:hanging="315"/>
      </w:pPr>
      <w:rPr>
        <w:rFonts w:hint="default"/>
        <w:lang w:val="ru-RU" w:eastAsia="ru-RU" w:bidi="ru-RU"/>
      </w:rPr>
    </w:lvl>
    <w:lvl w:ilvl="4" w:tplc="7098E024">
      <w:numFmt w:val="bullet"/>
      <w:lvlText w:val="•"/>
      <w:lvlJc w:val="left"/>
      <w:pPr>
        <w:ind w:left="4637" w:hanging="315"/>
      </w:pPr>
      <w:rPr>
        <w:rFonts w:hint="default"/>
        <w:lang w:val="ru-RU" w:eastAsia="ru-RU" w:bidi="ru-RU"/>
      </w:rPr>
    </w:lvl>
    <w:lvl w:ilvl="5" w:tplc="557CD11C">
      <w:numFmt w:val="bullet"/>
      <w:lvlText w:val="•"/>
      <w:lvlJc w:val="left"/>
      <w:pPr>
        <w:ind w:left="5622" w:hanging="315"/>
      </w:pPr>
      <w:rPr>
        <w:rFonts w:hint="default"/>
        <w:lang w:val="ru-RU" w:eastAsia="ru-RU" w:bidi="ru-RU"/>
      </w:rPr>
    </w:lvl>
    <w:lvl w:ilvl="6" w:tplc="ABBCCCE2">
      <w:numFmt w:val="bullet"/>
      <w:lvlText w:val="•"/>
      <w:lvlJc w:val="left"/>
      <w:pPr>
        <w:ind w:left="6608" w:hanging="315"/>
      </w:pPr>
      <w:rPr>
        <w:rFonts w:hint="default"/>
        <w:lang w:val="ru-RU" w:eastAsia="ru-RU" w:bidi="ru-RU"/>
      </w:rPr>
    </w:lvl>
    <w:lvl w:ilvl="7" w:tplc="790C5040">
      <w:numFmt w:val="bullet"/>
      <w:lvlText w:val="•"/>
      <w:lvlJc w:val="left"/>
      <w:pPr>
        <w:ind w:left="7594" w:hanging="315"/>
      </w:pPr>
      <w:rPr>
        <w:rFonts w:hint="default"/>
        <w:lang w:val="ru-RU" w:eastAsia="ru-RU" w:bidi="ru-RU"/>
      </w:rPr>
    </w:lvl>
    <w:lvl w:ilvl="8" w:tplc="1B806F48">
      <w:numFmt w:val="bullet"/>
      <w:lvlText w:val="•"/>
      <w:lvlJc w:val="left"/>
      <w:pPr>
        <w:ind w:left="8579" w:hanging="315"/>
      </w:pPr>
      <w:rPr>
        <w:rFonts w:hint="default"/>
        <w:lang w:val="ru-RU" w:eastAsia="ru-RU" w:bidi="ru-RU"/>
      </w:rPr>
    </w:lvl>
  </w:abstractNum>
  <w:abstractNum w:abstractNumId="5">
    <w:nsid w:val="21F14B3B"/>
    <w:multiLevelType w:val="hybridMultilevel"/>
    <w:tmpl w:val="CD8E3A20"/>
    <w:lvl w:ilvl="0" w:tplc="3788A6E6">
      <w:numFmt w:val="bullet"/>
      <w:lvlText w:val=""/>
      <w:lvlJc w:val="left"/>
      <w:pPr>
        <w:ind w:left="1682" w:hanging="31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765B70">
      <w:numFmt w:val="bullet"/>
      <w:lvlText w:val="•"/>
      <w:lvlJc w:val="left"/>
      <w:pPr>
        <w:ind w:left="2567" w:hanging="315"/>
      </w:pPr>
      <w:rPr>
        <w:rFonts w:hint="default"/>
        <w:lang w:val="ru-RU" w:eastAsia="ru-RU" w:bidi="ru-RU"/>
      </w:rPr>
    </w:lvl>
    <w:lvl w:ilvl="2" w:tplc="648A8738">
      <w:numFmt w:val="bullet"/>
      <w:lvlText w:val="•"/>
      <w:lvlJc w:val="left"/>
      <w:pPr>
        <w:ind w:left="3454" w:hanging="315"/>
      </w:pPr>
      <w:rPr>
        <w:rFonts w:hint="default"/>
        <w:lang w:val="ru-RU" w:eastAsia="ru-RU" w:bidi="ru-RU"/>
      </w:rPr>
    </w:lvl>
    <w:lvl w:ilvl="3" w:tplc="DFAC4B8E">
      <w:numFmt w:val="bullet"/>
      <w:lvlText w:val="•"/>
      <w:lvlJc w:val="left"/>
      <w:pPr>
        <w:ind w:left="4341" w:hanging="315"/>
      </w:pPr>
      <w:rPr>
        <w:rFonts w:hint="default"/>
        <w:lang w:val="ru-RU" w:eastAsia="ru-RU" w:bidi="ru-RU"/>
      </w:rPr>
    </w:lvl>
    <w:lvl w:ilvl="4" w:tplc="17A8D068">
      <w:numFmt w:val="bullet"/>
      <w:lvlText w:val="•"/>
      <w:lvlJc w:val="left"/>
      <w:pPr>
        <w:ind w:left="5228" w:hanging="315"/>
      </w:pPr>
      <w:rPr>
        <w:rFonts w:hint="default"/>
        <w:lang w:val="ru-RU" w:eastAsia="ru-RU" w:bidi="ru-RU"/>
      </w:rPr>
    </w:lvl>
    <w:lvl w:ilvl="5" w:tplc="CC0ED3A0">
      <w:numFmt w:val="bullet"/>
      <w:lvlText w:val="•"/>
      <w:lvlJc w:val="left"/>
      <w:pPr>
        <w:ind w:left="6115" w:hanging="315"/>
      </w:pPr>
      <w:rPr>
        <w:rFonts w:hint="default"/>
        <w:lang w:val="ru-RU" w:eastAsia="ru-RU" w:bidi="ru-RU"/>
      </w:rPr>
    </w:lvl>
    <w:lvl w:ilvl="6" w:tplc="1E02B89E">
      <w:numFmt w:val="bullet"/>
      <w:lvlText w:val="•"/>
      <w:lvlJc w:val="left"/>
      <w:pPr>
        <w:ind w:left="7002" w:hanging="315"/>
      </w:pPr>
      <w:rPr>
        <w:rFonts w:hint="default"/>
        <w:lang w:val="ru-RU" w:eastAsia="ru-RU" w:bidi="ru-RU"/>
      </w:rPr>
    </w:lvl>
    <w:lvl w:ilvl="7" w:tplc="327039D4">
      <w:numFmt w:val="bullet"/>
      <w:lvlText w:val="•"/>
      <w:lvlJc w:val="left"/>
      <w:pPr>
        <w:ind w:left="7889" w:hanging="315"/>
      </w:pPr>
      <w:rPr>
        <w:rFonts w:hint="default"/>
        <w:lang w:val="ru-RU" w:eastAsia="ru-RU" w:bidi="ru-RU"/>
      </w:rPr>
    </w:lvl>
    <w:lvl w:ilvl="8" w:tplc="E408BD70">
      <w:numFmt w:val="bullet"/>
      <w:lvlText w:val="•"/>
      <w:lvlJc w:val="left"/>
      <w:pPr>
        <w:ind w:left="8776" w:hanging="315"/>
      </w:pPr>
      <w:rPr>
        <w:rFonts w:hint="default"/>
        <w:lang w:val="ru-RU" w:eastAsia="ru-RU" w:bidi="ru-RU"/>
      </w:rPr>
    </w:lvl>
  </w:abstractNum>
  <w:abstractNum w:abstractNumId="6">
    <w:nsid w:val="24A21286"/>
    <w:multiLevelType w:val="hybridMultilevel"/>
    <w:tmpl w:val="C452F158"/>
    <w:lvl w:ilvl="0" w:tplc="73DC4E20">
      <w:start w:val="1"/>
      <w:numFmt w:val="decimal"/>
      <w:lvlText w:val="%1."/>
      <w:lvlJc w:val="left"/>
      <w:pPr>
        <w:ind w:left="662" w:hanging="708"/>
        <w:jc w:val="left"/>
      </w:pPr>
      <w:rPr>
        <w:rFonts w:ascii="Times New Roman" w:eastAsia="Times New Roman" w:hAnsi="Times New Roman" w:cs="Times New Roman" w:hint="default"/>
        <w:b/>
        <w:bCs/>
        <w:color w:val="1F487C"/>
        <w:spacing w:val="0"/>
        <w:w w:val="100"/>
        <w:sz w:val="28"/>
        <w:szCs w:val="28"/>
        <w:lang w:val="ru-RU" w:eastAsia="ru-RU" w:bidi="ru-RU"/>
      </w:rPr>
    </w:lvl>
    <w:lvl w:ilvl="1" w:tplc="9716A6CE">
      <w:numFmt w:val="bullet"/>
      <w:lvlText w:val="•"/>
      <w:lvlJc w:val="left"/>
      <w:pPr>
        <w:ind w:left="1649" w:hanging="708"/>
      </w:pPr>
      <w:rPr>
        <w:rFonts w:hint="default"/>
        <w:lang w:val="ru-RU" w:eastAsia="ru-RU" w:bidi="ru-RU"/>
      </w:rPr>
    </w:lvl>
    <w:lvl w:ilvl="2" w:tplc="D696F47C">
      <w:numFmt w:val="bullet"/>
      <w:lvlText w:val="•"/>
      <w:lvlJc w:val="left"/>
      <w:pPr>
        <w:ind w:left="2638" w:hanging="708"/>
      </w:pPr>
      <w:rPr>
        <w:rFonts w:hint="default"/>
        <w:lang w:val="ru-RU" w:eastAsia="ru-RU" w:bidi="ru-RU"/>
      </w:rPr>
    </w:lvl>
    <w:lvl w:ilvl="3" w:tplc="FA8C7F34">
      <w:numFmt w:val="bullet"/>
      <w:lvlText w:val="•"/>
      <w:lvlJc w:val="left"/>
      <w:pPr>
        <w:ind w:left="3627" w:hanging="708"/>
      </w:pPr>
      <w:rPr>
        <w:rFonts w:hint="default"/>
        <w:lang w:val="ru-RU" w:eastAsia="ru-RU" w:bidi="ru-RU"/>
      </w:rPr>
    </w:lvl>
    <w:lvl w:ilvl="4" w:tplc="549C7BE2">
      <w:numFmt w:val="bullet"/>
      <w:lvlText w:val="•"/>
      <w:lvlJc w:val="left"/>
      <w:pPr>
        <w:ind w:left="4616" w:hanging="708"/>
      </w:pPr>
      <w:rPr>
        <w:rFonts w:hint="default"/>
        <w:lang w:val="ru-RU" w:eastAsia="ru-RU" w:bidi="ru-RU"/>
      </w:rPr>
    </w:lvl>
    <w:lvl w:ilvl="5" w:tplc="27A8BCA4">
      <w:numFmt w:val="bullet"/>
      <w:lvlText w:val="•"/>
      <w:lvlJc w:val="left"/>
      <w:pPr>
        <w:ind w:left="5605" w:hanging="708"/>
      </w:pPr>
      <w:rPr>
        <w:rFonts w:hint="default"/>
        <w:lang w:val="ru-RU" w:eastAsia="ru-RU" w:bidi="ru-RU"/>
      </w:rPr>
    </w:lvl>
    <w:lvl w:ilvl="6" w:tplc="732E1DFC">
      <w:numFmt w:val="bullet"/>
      <w:lvlText w:val="•"/>
      <w:lvlJc w:val="left"/>
      <w:pPr>
        <w:ind w:left="6594" w:hanging="708"/>
      </w:pPr>
      <w:rPr>
        <w:rFonts w:hint="default"/>
        <w:lang w:val="ru-RU" w:eastAsia="ru-RU" w:bidi="ru-RU"/>
      </w:rPr>
    </w:lvl>
    <w:lvl w:ilvl="7" w:tplc="BFCEEAB6">
      <w:numFmt w:val="bullet"/>
      <w:lvlText w:val="•"/>
      <w:lvlJc w:val="left"/>
      <w:pPr>
        <w:ind w:left="7583" w:hanging="708"/>
      </w:pPr>
      <w:rPr>
        <w:rFonts w:hint="default"/>
        <w:lang w:val="ru-RU" w:eastAsia="ru-RU" w:bidi="ru-RU"/>
      </w:rPr>
    </w:lvl>
    <w:lvl w:ilvl="8" w:tplc="C64CD5E4">
      <w:numFmt w:val="bullet"/>
      <w:lvlText w:val="•"/>
      <w:lvlJc w:val="left"/>
      <w:pPr>
        <w:ind w:left="8572" w:hanging="708"/>
      </w:pPr>
      <w:rPr>
        <w:rFonts w:hint="default"/>
        <w:lang w:val="ru-RU" w:eastAsia="ru-RU" w:bidi="ru-RU"/>
      </w:rPr>
    </w:lvl>
  </w:abstractNum>
  <w:abstractNum w:abstractNumId="7">
    <w:nsid w:val="28200551"/>
    <w:multiLevelType w:val="hybridMultilevel"/>
    <w:tmpl w:val="518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D62"/>
    <w:multiLevelType w:val="hybridMultilevel"/>
    <w:tmpl w:val="4E7416B6"/>
    <w:lvl w:ilvl="0" w:tplc="AB08C050">
      <w:start w:val="1"/>
      <w:numFmt w:val="decimal"/>
      <w:lvlText w:val="%1."/>
      <w:lvlJc w:val="left"/>
      <w:pPr>
        <w:ind w:left="662" w:hanging="6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00C0B4">
      <w:numFmt w:val="bullet"/>
      <w:lvlText w:val="•"/>
      <w:lvlJc w:val="left"/>
      <w:pPr>
        <w:ind w:left="1649" w:hanging="627"/>
      </w:pPr>
      <w:rPr>
        <w:rFonts w:hint="default"/>
        <w:lang w:val="ru-RU" w:eastAsia="ru-RU" w:bidi="ru-RU"/>
      </w:rPr>
    </w:lvl>
    <w:lvl w:ilvl="2" w:tplc="2D7C4D88">
      <w:numFmt w:val="bullet"/>
      <w:lvlText w:val="•"/>
      <w:lvlJc w:val="left"/>
      <w:pPr>
        <w:ind w:left="2638" w:hanging="627"/>
      </w:pPr>
      <w:rPr>
        <w:rFonts w:hint="default"/>
        <w:lang w:val="ru-RU" w:eastAsia="ru-RU" w:bidi="ru-RU"/>
      </w:rPr>
    </w:lvl>
    <w:lvl w:ilvl="3" w:tplc="AFE21546">
      <w:numFmt w:val="bullet"/>
      <w:lvlText w:val="•"/>
      <w:lvlJc w:val="left"/>
      <w:pPr>
        <w:ind w:left="3627" w:hanging="627"/>
      </w:pPr>
      <w:rPr>
        <w:rFonts w:hint="default"/>
        <w:lang w:val="ru-RU" w:eastAsia="ru-RU" w:bidi="ru-RU"/>
      </w:rPr>
    </w:lvl>
    <w:lvl w:ilvl="4" w:tplc="911AF4D4">
      <w:numFmt w:val="bullet"/>
      <w:lvlText w:val="•"/>
      <w:lvlJc w:val="left"/>
      <w:pPr>
        <w:ind w:left="4616" w:hanging="627"/>
      </w:pPr>
      <w:rPr>
        <w:rFonts w:hint="default"/>
        <w:lang w:val="ru-RU" w:eastAsia="ru-RU" w:bidi="ru-RU"/>
      </w:rPr>
    </w:lvl>
    <w:lvl w:ilvl="5" w:tplc="E9E81B32">
      <w:numFmt w:val="bullet"/>
      <w:lvlText w:val="•"/>
      <w:lvlJc w:val="left"/>
      <w:pPr>
        <w:ind w:left="5605" w:hanging="627"/>
      </w:pPr>
      <w:rPr>
        <w:rFonts w:hint="default"/>
        <w:lang w:val="ru-RU" w:eastAsia="ru-RU" w:bidi="ru-RU"/>
      </w:rPr>
    </w:lvl>
    <w:lvl w:ilvl="6" w:tplc="B330CB76">
      <w:numFmt w:val="bullet"/>
      <w:lvlText w:val="•"/>
      <w:lvlJc w:val="left"/>
      <w:pPr>
        <w:ind w:left="6594" w:hanging="627"/>
      </w:pPr>
      <w:rPr>
        <w:rFonts w:hint="default"/>
        <w:lang w:val="ru-RU" w:eastAsia="ru-RU" w:bidi="ru-RU"/>
      </w:rPr>
    </w:lvl>
    <w:lvl w:ilvl="7" w:tplc="F2007F8C">
      <w:numFmt w:val="bullet"/>
      <w:lvlText w:val="•"/>
      <w:lvlJc w:val="left"/>
      <w:pPr>
        <w:ind w:left="7583" w:hanging="627"/>
      </w:pPr>
      <w:rPr>
        <w:rFonts w:hint="default"/>
        <w:lang w:val="ru-RU" w:eastAsia="ru-RU" w:bidi="ru-RU"/>
      </w:rPr>
    </w:lvl>
    <w:lvl w:ilvl="8" w:tplc="8B8AB034">
      <w:numFmt w:val="bullet"/>
      <w:lvlText w:val="•"/>
      <w:lvlJc w:val="left"/>
      <w:pPr>
        <w:ind w:left="8572" w:hanging="627"/>
      </w:pPr>
      <w:rPr>
        <w:rFonts w:hint="default"/>
        <w:lang w:val="ru-RU" w:eastAsia="ru-RU" w:bidi="ru-RU"/>
      </w:rPr>
    </w:lvl>
  </w:abstractNum>
  <w:abstractNum w:abstractNumId="9">
    <w:nsid w:val="31E728C2"/>
    <w:multiLevelType w:val="multilevel"/>
    <w:tmpl w:val="DAF4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28E2428"/>
    <w:multiLevelType w:val="hybridMultilevel"/>
    <w:tmpl w:val="BB3A21AA"/>
    <w:lvl w:ilvl="0" w:tplc="CF78B498">
      <w:start w:val="1"/>
      <w:numFmt w:val="decimal"/>
      <w:lvlText w:val="(%1)"/>
      <w:lvlJc w:val="left"/>
      <w:pPr>
        <w:ind w:left="66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4010B2">
      <w:numFmt w:val="bullet"/>
      <w:lvlText w:val="-"/>
      <w:lvlJc w:val="left"/>
      <w:pPr>
        <w:ind w:left="66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7E8F0A">
      <w:numFmt w:val="bullet"/>
      <w:lvlText w:val="•"/>
      <w:lvlJc w:val="left"/>
      <w:pPr>
        <w:ind w:left="2638" w:hanging="156"/>
      </w:pPr>
      <w:rPr>
        <w:rFonts w:hint="default"/>
        <w:lang w:val="ru-RU" w:eastAsia="ru-RU" w:bidi="ru-RU"/>
      </w:rPr>
    </w:lvl>
    <w:lvl w:ilvl="3" w:tplc="1E1450B0">
      <w:numFmt w:val="bullet"/>
      <w:lvlText w:val="•"/>
      <w:lvlJc w:val="left"/>
      <w:pPr>
        <w:ind w:left="3627" w:hanging="156"/>
      </w:pPr>
      <w:rPr>
        <w:rFonts w:hint="default"/>
        <w:lang w:val="ru-RU" w:eastAsia="ru-RU" w:bidi="ru-RU"/>
      </w:rPr>
    </w:lvl>
    <w:lvl w:ilvl="4" w:tplc="C6EA87FA">
      <w:numFmt w:val="bullet"/>
      <w:lvlText w:val="•"/>
      <w:lvlJc w:val="left"/>
      <w:pPr>
        <w:ind w:left="4616" w:hanging="156"/>
      </w:pPr>
      <w:rPr>
        <w:rFonts w:hint="default"/>
        <w:lang w:val="ru-RU" w:eastAsia="ru-RU" w:bidi="ru-RU"/>
      </w:rPr>
    </w:lvl>
    <w:lvl w:ilvl="5" w:tplc="0570D85C">
      <w:numFmt w:val="bullet"/>
      <w:lvlText w:val="•"/>
      <w:lvlJc w:val="left"/>
      <w:pPr>
        <w:ind w:left="5605" w:hanging="156"/>
      </w:pPr>
      <w:rPr>
        <w:rFonts w:hint="default"/>
        <w:lang w:val="ru-RU" w:eastAsia="ru-RU" w:bidi="ru-RU"/>
      </w:rPr>
    </w:lvl>
    <w:lvl w:ilvl="6" w:tplc="CB7CD1A8">
      <w:numFmt w:val="bullet"/>
      <w:lvlText w:val="•"/>
      <w:lvlJc w:val="left"/>
      <w:pPr>
        <w:ind w:left="6594" w:hanging="156"/>
      </w:pPr>
      <w:rPr>
        <w:rFonts w:hint="default"/>
        <w:lang w:val="ru-RU" w:eastAsia="ru-RU" w:bidi="ru-RU"/>
      </w:rPr>
    </w:lvl>
    <w:lvl w:ilvl="7" w:tplc="C8C232E0">
      <w:numFmt w:val="bullet"/>
      <w:lvlText w:val="•"/>
      <w:lvlJc w:val="left"/>
      <w:pPr>
        <w:ind w:left="7583" w:hanging="156"/>
      </w:pPr>
      <w:rPr>
        <w:rFonts w:hint="default"/>
        <w:lang w:val="ru-RU" w:eastAsia="ru-RU" w:bidi="ru-RU"/>
      </w:rPr>
    </w:lvl>
    <w:lvl w:ilvl="8" w:tplc="0E88F38A">
      <w:numFmt w:val="bullet"/>
      <w:lvlText w:val="•"/>
      <w:lvlJc w:val="left"/>
      <w:pPr>
        <w:ind w:left="8572" w:hanging="156"/>
      </w:pPr>
      <w:rPr>
        <w:rFonts w:hint="default"/>
        <w:lang w:val="ru-RU" w:eastAsia="ru-RU" w:bidi="ru-RU"/>
      </w:rPr>
    </w:lvl>
  </w:abstractNum>
  <w:abstractNum w:abstractNumId="11">
    <w:nsid w:val="36F76EE0"/>
    <w:multiLevelType w:val="hybridMultilevel"/>
    <w:tmpl w:val="B69AE5DA"/>
    <w:lvl w:ilvl="0" w:tplc="92184E9A">
      <w:numFmt w:val="bullet"/>
      <w:lvlText w:val="-"/>
      <w:lvlJc w:val="left"/>
      <w:pPr>
        <w:ind w:left="6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8417EE">
      <w:numFmt w:val="bullet"/>
      <w:lvlText w:val="•"/>
      <w:lvlJc w:val="left"/>
      <w:pPr>
        <w:ind w:left="1649" w:hanging="339"/>
      </w:pPr>
      <w:rPr>
        <w:rFonts w:hint="default"/>
        <w:lang w:val="ru-RU" w:eastAsia="ru-RU" w:bidi="ru-RU"/>
      </w:rPr>
    </w:lvl>
    <w:lvl w:ilvl="2" w:tplc="8D4E6E42">
      <w:numFmt w:val="bullet"/>
      <w:lvlText w:val="•"/>
      <w:lvlJc w:val="left"/>
      <w:pPr>
        <w:ind w:left="2638" w:hanging="339"/>
      </w:pPr>
      <w:rPr>
        <w:rFonts w:hint="default"/>
        <w:lang w:val="ru-RU" w:eastAsia="ru-RU" w:bidi="ru-RU"/>
      </w:rPr>
    </w:lvl>
    <w:lvl w:ilvl="3" w:tplc="6ABE891E">
      <w:numFmt w:val="bullet"/>
      <w:lvlText w:val="•"/>
      <w:lvlJc w:val="left"/>
      <w:pPr>
        <w:ind w:left="3627" w:hanging="339"/>
      </w:pPr>
      <w:rPr>
        <w:rFonts w:hint="default"/>
        <w:lang w:val="ru-RU" w:eastAsia="ru-RU" w:bidi="ru-RU"/>
      </w:rPr>
    </w:lvl>
    <w:lvl w:ilvl="4" w:tplc="CD0E43A2">
      <w:numFmt w:val="bullet"/>
      <w:lvlText w:val="•"/>
      <w:lvlJc w:val="left"/>
      <w:pPr>
        <w:ind w:left="4616" w:hanging="339"/>
      </w:pPr>
      <w:rPr>
        <w:rFonts w:hint="default"/>
        <w:lang w:val="ru-RU" w:eastAsia="ru-RU" w:bidi="ru-RU"/>
      </w:rPr>
    </w:lvl>
    <w:lvl w:ilvl="5" w:tplc="2C88C6C4">
      <w:numFmt w:val="bullet"/>
      <w:lvlText w:val="•"/>
      <w:lvlJc w:val="left"/>
      <w:pPr>
        <w:ind w:left="5605" w:hanging="339"/>
      </w:pPr>
      <w:rPr>
        <w:rFonts w:hint="default"/>
        <w:lang w:val="ru-RU" w:eastAsia="ru-RU" w:bidi="ru-RU"/>
      </w:rPr>
    </w:lvl>
    <w:lvl w:ilvl="6" w:tplc="E32E011C">
      <w:numFmt w:val="bullet"/>
      <w:lvlText w:val="•"/>
      <w:lvlJc w:val="left"/>
      <w:pPr>
        <w:ind w:left="6594" w:hanging="339"/>
      </w:pPr>
      <w:rPr>
        <w:rFonts w:hint="default"/>
        <w:lang w:val="ru-RU" w:eastAsia="ru-RU" w:bidi="ru-RU"/>
      </w:rPr>
    </w:lvl>
    <w:lvl w:ilvl="7" w:tplc="F0F8E4A4">
      <w:numFmt w:val="bullet"/>
      <w:lvlText w:val="•"/>
      <w:lvlJc w:val="left"/>
      <w:pPr>
        <w:ind w:left="7583" w:hanging="339"/>
      </w:pPr>
      <w:rPr>
        <w:rFonts w:hint="default"/>
        <w:lang w:val="ru-RU" w:eastAsia="ru-RU" w:bidi="ru-RU"/>
      </w:rPr>
    </w:lvl>
    <w:lvl w:ilvl="8" w:tplc="21BC87F8">
      <w:numFmt w:val="bullet"/>
      <w:lvlText w:val="•"/>
      <w:lvlJc w:val="left"/>
      <w:pPr>
        <w:ind w:left="8572" w:hanging="339"/>
      </w:pPr>
      <w:rPr>
        <w:rFonts w:hint="default"/>
        <w:lang w:val="ru-RU" w:eastAsia="ru-RU" w:bidi="ru-RU"/>
      </w:rPr>
    </w:lvl>
  </w:abstractNum>
  <w:abstractNum w:abstractNumId="12">
    <w:nsid w:val="3BBF4359"/>
    <w:multiLevelType w:val="hybridMultilevel"/>
    <w:tmpl w:val="125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68DB"/>
    <w:multiLevelType w:val="hybridMultilevel"/>
    <w:tmpl w:val="3FAC1C94"/>
    <w:lvl w:ilvl="0" w:tplc="9ADC5B1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E008A"/>
    <w:multiLevelType w:val="hybridMultilevel"/>
    <w:tmpl w:val="F2C4C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B15C88"/>
    <w:multiLevelType w:val="hybridMultilevel"/>
    <w:tmpl w:val="461ADC8C"/>
    <w:lvl w:ilvl="0" w:tplc="8B8028CC">
      <w:numFmt w:val="bullet"/>
      <w:lvlText w:val="-"/>
      <w:lvlJc w:val="left"/>
      <w:pPr>
        <w:ind w:left="66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08ADC2">
      <w:numFmt w:val="bullet"/>
      <w:lvlText w:val="•"/>
      <w:lvlJc w:val="left"/>
      <w:pPr>
        <w:ind w:left="1649" w:hanging="202"/>
      </w:pPr>
      <w:rPr>
        <w:rFonts w:hint="default"/>
        <w:lang w:val="ru-RU" w:eastAsia="ru-RU" w:bidi="ru-RU"/>
      </w:rPr>
    </w:lvl>
    <w:lvl w:ilvl="2" w:tplc="9772614E">
      <w:numFmt w:val="bullet"/>
      <w:lvlText w:val="•"/>
      <w:lvlJc w:val="left"/>
      <w:pPr>
        <w:ind w:left="2638" w:hanging="202"/>
      </w:pPr>
      <w:rPr>
        <w:rFonts w:hint="default"/>
        <w:lang w:val="ru-RU" w:eastAsia="ru-RU" w:bidi="ru-RU"/>
      </w:rPr>
    </w:lvl>
    <w:lvl w:ilvl="3" w:tplc="75D4AD92">
      <w:numFmt w:val="bullet"/>
      <w:lvlText w:val="•"/>
      <w:lvlJc w:val="left"/>
      <w:pPr>
        <w:ind w:left="3627" w:hanging="202"/>
      </w:pPr>
      <w:rPr>
        <w:rFonts w:hint="default"/>
        <w:lang w:val="ru-RU" w:eastAsia="ru-RU" w:bidi="ru-RU"/>
      </w:rPr>
    </w:lvl>
    <w:lvl w:ilvl="4" w:tplc="2BE2D724">
      <w:numFmt w:val="bullet"/>
      <w:lvlText w:val="•"/>
      <w:lvlJc w:val="left"/>
      <w:pPr>
        <w:ind w:left="4616" w:hanging="202"/>
      </w:pPr>
      <w:rPr>
        <w:rFonts w:hint="default"/>
        <w:lang w:val="ru-RU" w:eastAsia="ru-RU" w:bidi="ru-RU"/>
      </w:rPr>
    </w:lvl>
    <w:lvl w:ilvl="5" w:tplc="28BAE720">
      <w:numFmt w:val="bullet"/>
      <w:lvlText w:val="•"/>
      <w:lvlJc w:val="left"/>
      <w:pPr>
        <w:ind w:left="5605" w:hanging="202"/>
      </w:pPr>
      <w:rPr>
        <w:rFonts w:hint="default"/>
        <w:lang w:val="ru-RU" w:eastAsia="ru-RU" w:bidi="ru-RU"/>
      </w:rPr>
    </w:lvl>
    <w:lvl w:ilvl="6" w:tplc="6312374C">
      <w:numFmt w:val="bullet"/>
      <w:lvlText w:val="•"/>
      <w:lvlJc w:val="left"/>
      <w:pPr>
        <w:ind w:left="6594" w:hanging="202"/>
      </w:pPr>
      <w:rPr>
        <w:rFonts w:hint="default"/>
        <w:lang w:val="ru-RU" w:eastAsia="ru-RU" w:bidi="ru-RU"/>
      </w:rPr>
    </w:lvl>
    <w:lvl w:ilvl="7" w:tplc="D8F237DC">
      <w:numFmt w:val="bullet"/>
      <w:lvlText w:val="•"/>
      <w:lvlJc w:val="left"/>
      <w:pPr>
        <w:ind w:left="7583" w:hanging="202"/>
      </w:pPr>
      <w:rPr>
        <w:rFonts w:hint="default"/>
        <w:lang w:val="ru-RU" w:eastAsia="ru-RU" w:bidi="ru-RU"/>
      </w:rPr>
    </w:lvl>
    <w:lvl w:ilvl="8" w:tplc="41D8771E">
      <w:numFmt w:val="bullet"/>
      <w:lvlText w:val="•"/>
      <w:lvlJc w:val="left"/>
      <w:pPr>
        <w:ind w:left="8572" w:hanging="202"/>
      </w:pPr>
      <w:rPr>
        <w:rFonts w:hint="default"/>
        <w:lang w:val="ru-RU" w:eastAsia="ru-RU" w:bidi="ru-RU"/>
      </w:rPr>
    </w:lvl>
  </w:abstractNum>
  <w:abstractNum w:abstractNumId="16">
    <w:nsid w:val="4FE1373D"/>
    <w:multiLevelType w:val="hybridMultilevel"/>
    <w:tmpl w:val="A1F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6F6"/>
    <w:multiLevelType w:val="hybridMultilevel"/>
    <w:tmpl w:val="73B8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86C26"/>
    <w:multiLevelType w:val="hybridMultilevel"/>
    <w:tmpl w:val="6ACC9B8A"/>
    <w:lvl w:ilvl="0" w:tplc="8A34732C">
      <w:start w:val="1"/>
      <w:numFmt w:val="decimal"/>
      <w:lvlText w:val="(%1)"/>
      <w:lvlJc w:val="left"/>
      <w:pPr>
        <w:ind w:left="662" w:hanging="571"/>
        <w:jc w:val="left"/>
      </w:pPr>
      <w:rPr>
        <w:rFonts w:hint="default"/>
        <w:w w:val="100"/>
        <w:lang w:val="ru-RU" w:eastAsia="ru-RU" w:bidi="ru-RU"/>
      </w:rPr>
    </w:lvl>
    <w:lvl w:ilvl="1" w:tplc="C74665A0">
      <w:numFmt w:val="bullet"/>
      <w:lvlText w:val="•"/>
      <w:lvlJc w:val="left"/>
      <w:pPr>
        <w:ind w:left="1649" w:hanging="571"/>
      </w:pPr>
      <w:rPr>
        <w:rFonts w:hint="default"/>
        <w:lang w:val="ru-RU" w:eastAsia="ru-RU" w:bidi="ru-RU"/>
      </w:rPr>
    </w:lvl>
    <w:lvl w:ilvl="2" w:tplc="245649A6">
      <w:numFmt w:val="bullet"/>
      <w:lvlText w:val="•"/>
      <w:lvlJc w:val="left"/>
      <w:pPr>
        <w:ind w:left="2638" w:hanging="571"/>
      </w:pPr>
      <w:rPr>
        <w:rFonts w:hint="default"/>
        <w:lang w:val="ru-RU" w:eastAsia="ru-RU" w:bidi="ru-RU"/>
      </w:rPr>
    </w:lvl>
    <w:lvl w:ilvl="3" w:tplc="D8E09B74">
      <w:numFmt w:val="bullet"/>
      <w:lvlText w:val="•"/>
      <w:lvlJc w:val="left"/>
      <w:pPr>
        <w:ind w:left="3627" w:hanging="571"/>
      </w:pPr>
      <w:rPr>
        <w:rFonts w:hint="default"/>
        <w:lang w:val="ru-RU" w:eastAsia="ru-RU" w:bidi="ru-RU"/>
      </w:rPr>
    </w:lvl>
    <w:lvl w:ilvl="4" w:tplc="4A041152">
      <w:numFmt w:val="bullet"/>
      <w:lvlText w:val="•"/>
      <w:lvlJc w:val="left"/>
      <w:pPr>
        <w:ind w:left="4616" w:hanging="571"/>
      </w:pPr>
      <w:rPr>
        <w:rFonts w:hint="default"/>
        <w:lang w:val="ru-RU" w:eastAsia="ru-RU" w:bidi="ru-RU"/>
      </w:rPr>
    </w:lvl>
    <w:lvl w:ilvl="5" w:tplc="BC36F15E">
      <w:numFmt w:val="bullet"/>
      <w:lvlText w:val="•"/>
      <w:lvlJc w:val="left"/>
      <w:pPr>
        <w:ind w:left="5605" w:hanging="571"/>
      </w:pPr>
      <w:rPr>
        <w:rFonts w:hint="default"/>
        <w:lang w:val="ru-RU" w:eastAsia="ru-RU" w:bidi="ru-RU"/>
      </w:rPr>
    </w:lvl>
    <w:lvl w:ilvl="6" w:tplc="36688C76">
      <w:numFmt w:val="bullet"/>
      <w:lvlText w:val="•"/>
      <w:lvlJc w:val="left"/>
      <w:pPr>
        <w:ind w:left="6594" w:hanging="571"/>
      </w:pPr>
      <w:rPr>
        <w:rFonts w:hint="default"/>
        <w:lang w:val="ru-RU" w:eastAsia="ru-RU" w:bidi="ru-RU"/>
      </w:rPr>
    </w:lvl>
    <w:lvl w:ilvl="7" w:tplc="12D4D310">
      <w:numFmt w:val="bullet"/>
      <w:lvlText w:val="•"/>
      <w:lvlJc w:val="left"/>
      <w:pPr>
        <w:ind w:left="7583" w:hanging="571"/>
      </w:pPr>
      <w:rPr>
        <w:rFonts w:hint="default"/>
        <w:lang w:val="ru-RU" w:eastAsia="ru-RU" w:bidi="ru-RU"/>
      </w:rPr>
    </w:lvl>
    <w:lvl w:ilvl="8" w:tplc="900C9562">
      <w:numFmt w:val="bullet"/>
      <w:lvlText w:val="•"/>
      <w:lvlJc w:val="left"/>
      <w:pPr>
        <w:ind w:left="8572" w:hanging="571"/>
      </w:pPr>
      <w:rPr>
        <w:rFonts w:hint="default"/>
        <w:lang w:val="ru-RU" w:eastAsia="ru-RU" w:bidi="ru-RU"/>
      </w:rPr>
    </w:lvl>
  </w:abstractNum>
  <w:abstractNum w:abstractNumId="19">
    <w:nsid w:val="54D64F8F"/>
    <w:multiLevelType w:val="hybridMultilevel"/>
    <w:tmpl w:val="CAEE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553"/>
    <w:multiLevelType w:val="hybridMultilevel"/>
    <w:tmpl w:val="5314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0FBD"/>
    <w:multiLevelType w:val="multilevel"/>
    <w:tmpl w:val="2AFC58EC"/>
    <w:lvl w:ilvl="0">
      <w:start w:val="1"/>
      <w:numFmt w:val="decimal"/>
      <w:lvlText w:val="%1."/>
      <w:lvlJc w:val="left"/>
      <w:pPr>
        <w:ind w:left="6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2090" w:hanging="360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62" w:hanging="1112"/>
        <w:jc w:val="lef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78" w:hanging="11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7" w:hanging="11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6" w:hanging="11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5" w:hanging="11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11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1112"/>
      </w:pPr>
      <w:rPr>
        <w:rFonts w:hint="default"/>
        <w:lang w:val="ru-RU" w:eastAsia="ru-RU" w:bidi="ru-RU"/>
      </w:rPr>
    </w:lvl>
  </w:abstractNum>
  <w:abstractNum w:abstractNumId="22">
    <w:nsid w:val="67DB7F94"/>
    <w:multiLevelType w:val="hybridMultilevel"/>
    <w:tmpl w:val="4920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A6FE9"/>
    <w:multiLevelType w:val="hybridMultilevel"/>
    <w:tmpl w:val="0228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F55EA"/>
    <w:multiLevelType w:val="hybridMultilevel"/>
    <w:tmpl w:val="5DC6E5FC"/>
    <w:lvl w:ilvl="0" w:tplc="975E5B88">
      <w:numFmt w:val="bullet"/>
      <w:lvlText w:val="-"/>
      <w:lvlJc w:val="left"/>
      <w:pPr>
        <w:ind w:left="6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CE19FE">
      <w:numFmt w:val="bullet"/>
      <w:lvlText w:val=""/>
      <w:lvlJc w:val="left"/>
      <w:pPr>
        <w:ind w:left="1682" w:hanging="31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F56D8CC">
      <w:numFmt w:val="bullet"/>
      <w:lvlText w:val="•"/>
      <w:lvlJc w:val="left"/>
      <w:pPr>
        <w:ind w:left="2665" w:hanging="315"/>
      </w:pPr>
      <w:rPr>
        <w:rFonts w:hint="default"/>
        <w:lang w:val="ru-RU" w:eastAsia="ru-RU" w:bidi="ru-RU"/>
      </w:rPr>
    </w:lvl>
    <w:lvl w:ilvl="3" w:tplc="96E696BA">
      <w:numFmt w:val="bullet"/>
      <w:lvlText w:val="•"/>
      <w:lvlJc w:val="left"/>
      <w:pPr>
        <w:ind w:left="3651" w:hanging="315"/>
      </w:pPr>
      <w:rPr>
        <w:rFonts w:hint="default"/>
        <w:lang w:val="ru-RU" w:eastAsia="ru-RU" w:bidi="ru-RU"/>
      </w:rPr>
    </w:lvl>
    <w:lvl w:ilvl="4" w:tplc="EEA256BE">
      <w:numFmt w:val="bullet"/>
      <w:lvlText w:val="•"/>
      <w:lvlJc w:val="left"/>
      <w:pPr>
        <w:ind w:left="4637" w:hanging="315"/>
      </w:pPr>
      <w:rPr>
        <w:rFonts w:hint="default"/>
        <w:lang w:val="ru-RU" w:eastAsia="ru-RU" w:bidi="ru-RU"/>
      </w:rPr>
    </w:lvl>
    <w:lvl w:ilvl="5" w:tplc="25186390">
      <w:numFmt w:val="bullet"/>
      <w:lvlText w:val="•"/>
      <w:lvlJc w:val="left"/>
      <w:pPr>
        <w:ind w:left="5622" w:hanging="315"/>
      </w:pPr>
      <w:rPr>
        <w:rFonts w:hint="default"/>
        <w:lang w:val="ru-RU" w:eastAsia="ru-RU" w:bidi="ru-RU"/>
      </w:rPr>
    </w:lvl>
    <w:lvl w:ilvl="6" w:tplc="E9F050B0">
      <w:numFmt w:val="bullet"/>
      <w:lvlText w:val="•"/>
      <w:lvlJc w:val="left"/>
      <w:pPr>
        <w:ind w:left="6608" w:hanging="315"/>
      </w:pPr>
      <w:rPr>
        <w:rFonts w:hint="default"/>
        <w:lang w:val="ru-RU" w:eastAsia="ru-RU" w:bidi="ru-RU"/>
      </w:rPr>
    </w:lvl>
    <w:lvl w:ilvl="7" w:tplc="CED4196E">
      <w:numFmt w:val="bullet"/>
      <w:lvlText w:val="•"/>
      <w:lvlJc w:val="left"/>
      <w:pPr>
        <w:ind w:left="7594" w:hanging="315"/>
      </w:pPr>
      <w:rPr>
        <w:rFonts w:hint="default"/>
        <w:lang w:val="ru-RU" w:eastAsia="ru-RU" w:bidi="ru-RU"/>
      </w:rPr>
    </w:lvl>
    <w:lvl w:ilvl="8" w:tplc="F25EA590">
      <w:numFmt w:val="bullet"/>
      <w:lvlText w:val="•"/>
      <w:lvlJc w:val="left"/>
      <w:pPr>
        <w:ind w:left="8579" w:hanging="315"/>
      </w:pPr>
      <w:rPr>
        <w:rFonts w:hint="default"/>
        <w:lang w:val="ru-RU" w:eastAsia="ru-RU" w:bidi="ru-RU"/>
      </w:rPr>
    </w:lvl>
  </w:abstractNum>
  <w:abstractNum w:abstractNumId="25">
    <w:nsid w:val="6EA04BD6"/>
    <w:multiLevelType w:val="hybridMultilevel"/>
    <w:tmpl w:val="51A24752"/>
    <w:lvl w:ilvl="0" w:tplc="ABD46202">
      <w:start w:val="1"/>
      <w:numFmt w:val="decimal"/>
      <w:lvlText w:val="%1)"/>
      <w:lvlJc w:val="left"/>
      <w:pPr>
        <w:ind w:left="6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B45236">
      <w:numFmt w:val="bullet"/>
      <w:lvlText w:val="•"/>
      <w:lvlJc w:val="left"/>
      <w:pPr>
        <w:ind w:left="1649" w:hanging="612"/>
      </w:pPr>
      <w:rPr>
        <w:rFonts w:hint="default"/>
        <w:lang w:val="ru-RU" w:eastAsia="ru-RU" w:bidi="ru-RU"/>
      </w:rPr>
    </w:lvl>
    <w:lvl w:ilvl="2" w:tplc="4BD8F8C6">
      <w:numFmt w:val="bullet"/>
      <w:lvlText w:val="•"/>
      <w:lvlJc w:val="left"/>
      <w:pPr>
        <w:ind w:left="2638" w:hanging="612"/>
      </w:pPr>
      <w:rPr>
        <w:rFonts w:hint="default"/>
        <w:lang w:val="ru-RU" w:eastAsia="ru-RU" w:bidi="ru-RU"/>
      </w:rPr>
    </w:lvl>
    <w:lvl w:ilvl="3" w:tplc="68201BEE">
      <w:numFmt w:val="bullet"/>
      <w:lvlText w:val="•"/>
      <w:lvlJc w:val="left"/>
      <w:pPr>
        <w:ind w:left="3627" w:hanging="612"/>
      </w:pPr>
      <w:rPr>
        <w:rFonts w:hint="default"/>
        <w:lang w:val="ru-RU" w:eastAsia="ru-RU" w:bidi="ru-RU"/>
      </w:rPr>
    </w:lvl>
    <w:lvl w:ilvl="4" w:tplc="C5A6EFC4">
      <w:numFmt w:val="bullet"/>
      <w:lvlText w:val="•"/>
      <w:lvlJc w:val="left"/>
      <w:pPr>
        <w:ind w:left="4616" w:hanging="612"/>
      </w:pPr>
      <w:rPr>
        <w:rFonts w:hint="default"/>
        <w:lang w:val="ru-RU" w:eastAsia="ru-RU" w:bidi="ru-RU"/>
      </w:rPr>
    </w:lvl>
    <w:lvl w:ilvl="5" w:tplc="B2D06CF2">
      <w:numFmt w:val="bullet"/>
      <w:lvlText w:val="•"/>
      <w:lvlJc w:val="left"/>
      <w:pPr>
        <w:ind w:left="5605" w:hanging="612"/>
      </w:pPr>
      <w:rPr>
        <w:rFonts w:hint="default"/>
        <w:lang w:val="ru-RU" w:eastAsia="ru-RU" w:bidi="ru-RU"/>
      </w:rPr>
    </w:lvl>
    <w:lvl w:ilvl="6" w:tplc="EE3870B4">
      <w:numFmt w:val="bullet"/>
      <w:lvlText w:val="•"/>
      <w:lvlJc w:val="left"/>
      <w:pPr>
        <w:ind w:left="6594" w:hanging="612"/>
      </w:pPr>
      <w:rPr>
        <w:rFonts w:hint="default"/>
        <w:lang w:val="ru-RU" w:eastAsia="ru-RU" w:bidi="ru-RU"/>
      </w:rPr>
    </w:lvl>
    <w:lvl w:ilvl="7" w:tplc="4050CEF8">
      <w:numFmt w:val="bullet"/>
      <w:lvlText w:val="•"/>
      <w:lvlJc w:val="left"/>
      <w:pPr>
        <w:ind w:left="7583" w:hanging="612"/>
      </w:pPr>
      <w:rPr>
        <w:rFonts w:hint="default"/>
        <w:lang w:val="ru-RU" w:eastAsia="ru-RU" w:bidi="ru-RU"/>
      </w:rPr>
    </w:lvl>
    <w:lvl w:ilvl="8" w:tplc="AC26E382">
      <w:numFmt w:val="bullet"/>
      <w:lvlText w:val="•"/>
      <w:lvlJc w:val="left"/>
      <w:pPr>
        <w:ind w:left="8572" w:hanging="612"/>
      </w:pPr>
      <w:rPr>
        <w:rFonts w:hint="default"/>
        <w:lang w:val="ru-RU" w:eastAsia="ru-RU" w:bidi="ru-RU"/>
      </w:rPr>
    </w:lvl>
  </w:abstractNum>
  <w:abstractNum w:abstractNumId="26">
    <w:nsid w:val="7747410A"/>
    <w:multiLevelType w:val="hybridMultilevel"/>
    <w:tmpl w:val="9920D4BC"/>
    <w:lvl w:ilvl="0" w:tplc="EE688B06">
      <w:numFmt w:val="bullet"/>
      <w:lvlText w:val="-"/>
      <w:lvlJc w:val="left"/>
      <w:pPr>
        <w:ind w:left="1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A24A70">
      <w:numFmt w:val="bullet"/>
      <w:lvlText w:val=""/>
      <w:lvlJc w:val="left"/>
      <w:pPr>
        <w:ind w:left="1682" w:hanging="31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10277B0">
      <w:numFmt w:val="bullet"/>
      <w:lvlText w:val="•"/>
      <w:lvlJc w:val="left"/>
      <w:pPr>
        <w:ind w:left="2665" w:hanging="315"/>
      </w:pPr>
      <w:rPr>
        <w:rFonts w:hint="default"/>
        <w:lang w:val="ru-RU" w:eastAsia="ru-RU" w:bidi="ru-RU"/>
      </w:rPr>
    </w:lvl>
    <w:lvl w:ilvl="3" w:tplc="33162E9A">
      <w:numFmt w:val="bullet"/>
      <w:lvlText w:val="•"/>
      <w:lvlJc w:val="left"/>
      <w:pPr>
        <w:ind w:left="3651" w:hanging="315"/>
      </w:pPr>
      <w:rPr>
        <w:rFonts w:hint="default"/>
        <w:lang w:val="ru-RU" w:eastAsia="ru-RU" w:bidi="ru-RU"/>
      </w:rPr>
    </w:lvl>
    <w:lvl w:ilvl="4" w:tplc="155CED9A">
      <w:numFmt w:val="bullet"/>
      <w:lvlText w:val="•"/>
      <w:lvlJc w:val="left"/>
      <w:pPr>
        <w:ind w:left="4637" w:hanging="315"/>
      </w:pPr>
      <w:rPr>
        <w:rFonts w:hint="default"/>
        <w:lang w:val="ru-RU" w:eastAsia="ru-RU" w:bidi="ru-RU"/>
      </w:rPr>
    </w:lvl>
    <w:lvl w:ilvl="5" w:tplc="F202FAE6">
      <w:numFmt w:val="bullet"/>
      <w:lvlText w:val="•"/>
      <w:lvlJc w:val="left"/>
      <w:pPr>
        <w:ind w:left="5622" w:hanging="315"/>
      </w:pPr>
      <w:rPr>
        <w:rFonts w:hint="default"/>
        <w:lang w:val="ru-RU" w:eastAsia="ru-RU" w:bidi="ru-RU"/>
      </w:rPr>
    </w:lvl>
    <w:lvl w:ilvl="6" w:tplc="0074AABA">
      <w:numFmt w:val="bullet"/>
      <w:lvlText w:val="•"/>
      <w:lvlJc w:val="left"/>
      <w:pPr>
        <w:ind w:left="6608" w:hanging="315"/>
      </w:pPr>
      <w:rPr>
        <w:rFonts w:hint="default"/>
        <w:lang w:val="ru-RU" w:eastAsia="ru-RU" w:bidi="ru-RU"/>
      </w:rPr>
    </w:lvl>
    <w:lvl w:ilvl="7" w:tplc="0C7E97E8">
      <w:numFmt w:val="bullet"/>
      <w:lvlText w:val="•"/>
      <w:lvlJc w:val="left"/>
      <w:pPr>
        <w:ind w:left="7594" w:hanging="315"/>
      </w:pPr>
      <w:rPr>
        <w:rFonts w:hint="default"/>
        <w:lang w:val="ru-RU" w:eastAsia="ru-RU" w:bidi="ru-RU"/>
      </w:rPr>
    </w:lvl>
    <w:lvl w:ilvl="8" w:tplc="11288648">
      <w:numFmt w:val="bullet"/>
      <w:lvlText w:val="•"/>
      <w:lvlJc w:val="left"/>
      <w:pPr>
        <w:ind w:left="8579" w:hanging="31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5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6"/>
  </w:num>
  <w:num w:numId="10">
    <w:abstractNumId w:val="4"/>
  </w:num>
  <w:num w:numId="11">
    <w:abstractNumId w:val="21"/>
  </w:num>
  <w:num w:numId="12">
    <w:abstractNumId w:val="24"/>
  </w:num>
  <w:num w:numId="13">
    <w:abstractNumId w:val="26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17"/>
  </w:num>
  <w:num w:numId="24">
    <w:abstractNumId w:val="23"/>
  </w:num>
  <w:num w:numId="25">
    <w:abstractNumId w:val="13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1C"/>
    <w:rsid w:val="000E78C0"/>
    <w:rsid w:val="001B4497"/>
    <w:rsid w:val="00276B9B"/>
    <w:rsid w:val="006C4493"/>
    <w:rsid w:val="00AE64B1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0E78C0"/>
    <w:pPr>
      <w:ind w:left="13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E78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78C0"/>
    <w:pPr>
      <w:ind w:left="6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78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E78C0"/>
    <w:pPr>
      <w:ind w:left="662" w:hanging="341"/>
      <w:jc w:val="both"/>
    </w:pPr>
  </w:style>
  <w:style w:type="character" w:styleId="a6">
    <w:name w:val="Hyperlink"/>
    <w:basedOn w:val="a0"/>
    <w:uiPriority w:val="99"/>
    <w:unhideWhenUsed/>
    <w:rsid w:val="000E78C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E6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64B1"/>
  </w:style>
  <w:style w:type="paragraph" w:styleId="a7">
    <w:name w:val="Balloon Text"/>
    <w:basedOn w:val="a"/>
    <w:link w:val="a8"/>
    <w:uiPriority w:val="99"/>
    <w:semiHidden/>
    <w:unhideWhenUsed/>
    <w:rsid w:val="00AE6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B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AE64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AE64B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E6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0E78C0"/>
    <w:pPr>
      <w:ind w:left="13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E78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78C0"/>
    <w:pPr>
      <w:ind w:left="6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78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E78C0"/>
    <w:pPr>
      <w:ind w:left="662" w:hanging="341"/>
      <w:jc w:val="both"/>
    </w:pPr>
  </w:style>
  <w:style w:type="character" w:styleId="a6">
    <w:name w:val="Hyperlink"/>
    <w:basedOn w:val="a0"/>
    <w:uiPriority w:val="99"/>
    <w:unhideWhenUsed/>
    <w:rsid w:val="000E78C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E6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64B1"/>
  </w:style>
  <w:style w:type="paragraph" w:styleId="a7">
    <w:name w:val="Balloon Text"/>
    <w:basedOn w:val="a"/>
    <w:link w:val="a8"/>
    <w:uiPriority w:val="99"/>
    <w:semiHidden/>
    <w:unhideWhenUsed/>
    <w:rsid w:val="00AE6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B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AE64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AE64B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3784</Words>
  <Characters>21573</Characters>
  <Application>Microsoft Office Word</Application>
  <DocSecurity>0</DocSecurity>
  <Lines>179</Lines>
  <Paragraphs>50</Paragraphs>
  <ScaleCrop>false</ScaleCrop>
  <Company/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2020-04-30T06:54:00Z</dcterms:created>
  <dcterms:modified xsi:type="dcterms:W3CDTF">2020-04-30T09:18:00Z</dcterms:modified>
</cp:coreProperties>
</file>